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95EE23">
      <w:pPr>
        <w:spacing w:line="360" w:lineRule="auto"/>
        <w:jc w:val="center"/>
        <w:rPr>
          <w:rFonts w:ascii="Times New Roman" w:hAnsi="Times New Roman" w:cs="Times New Roman"/>
          <w:sz w:val="24"/>
          <w:szCs w:val="24"/>
        </w:rPr>
      </w:pPr>
      <w:bookmarkStart w:id="8" w:name="_GoBack"/>
      <w:bookmarkEnd w:id="8"/>
      <w:bookmarkStart w:id="0" w:name="OLE_LINK6"/>
      <w:bookmarkStart w:id="1" w:name="OLE_LINK17"/>
      <w:bookmarkStart w:id="2" w:name="OLE_LINK16"/>
      <w:bookmarkStart w:id="3" w:name="OLE_LINK5"/>
      <w:r>
        <w:rPr>
          <w:rFonts w:hint="eastAsia" w:ascii="Times New Roman" w:hAnsi="Times New Roman" w:cs="Times New Roman"/>
          <w:sz w:val="24"/>
          <w:szCs w:val="24"/>
        </w:rPr>
        <w:t>天津市消防救援总队机关基础设施日常零星维修项目</w:t>
      </w:r>
      <w:r>
        <w:rPr>
          <w:rFonts w:ascii="Times New Roman" w:hAnsi="Times New Roman" w:cs="Times New Roman"/>
          <w:sz w:val="24"/>
          <w:szCs w:val="24"/>
        </w:rPr>
        <w:t>（项目编号：TGPC-2026-D-0070）公开招标</w:t>
      </w:r>
      <w:r>
        <w:rPr>
          <w:rFonts w:hint="eastAsia" w:ascii="Times New Roman" w:hAnsi="Times New Roman" w:cs="Times New Roman"/>
          <w:sz w:val="24"/>
          <w:szCs w:val="24"/>
        </w:rPr>
        <w:t>公告</w:t>
      </w:r>
    </w:p>
    <w:p w14:paraId="1409F1FE"/>
    <w:bookmarkEnd w:id="0"/>
    <w:bookmarkEnd w:id="1"/>
    <w:bookmarkEnd w:id="2"/>
    <w:bookmarkEnd w:id="3"/>
    <w:p w14:paraId="2E0BACDA">
      <w:pPr>
        <w:pStyle w:val="12"/>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受</w:t>
      </w:r>
      <w:r>
        <w:rPr>
          <w:rFonts w:hint="eastAsia" w:ascii="Times New Roman" w:hAnsi="Times New Roman" w:eastAsia="宋体" w:cs="Times New Roman"/>
          <w:color w:val="auto"/>
        </w:rPr>
        <w:t>天津市消防救援总队</w:t>
      </w:r>
      <w:r>
        <w:rPr>
          <w:rFonts w:ascii="Times New Roman" w:hAnsi="Times New Roman" w:cs="Times New Roman" w:eastAsiaTheme="minorEastAsia"/>
          <w:color w:val="auto"/>
          <w:szCs w:val="32"/>
        </w:rPr>
        <w:t>委托，天津市政府采购中心对</w:t>
      </w:r>
      <w:r>
        <w:rPr>
          <w:rFonts w:hint="eastAsia" w:ascii="Times New Roman" w:hAnsi="Times New Roman" w:cs="Times New Roman" w:eastAsiaTheme="minorEastAsia"/>
          <w:color w:val="auto"/>
          <w:szCs w:val="32"/>
        </w:rPr>
        <w:t>天津市消防救援总队机关基础设施日常零星维修项目</w:t>
      </w:r>
      <w:r>
        <w:rPr>
          <w:rFonts w:ascii="Times New Roman" w:hAnsi="Times New Roman" w:cs="Times New Roman" w:eastAsiaTheme="minorEastAsia"/>
          <w:color w:val="auto"/>
          <w:szCs w:val="32"/>
        </w:rPr>
        <w:t>实施采购。现欢迎合格的供应商参加投标。</w:t>
      </w:r>
    </w:p>
    <w:p w14:paraId="531B8036">
      <w:pPr>
        <w:pStyle w:val="12"/>
        <w:spacing w:line="360" w:lineRule="auto"/>
        <w:ind w:firstLine="480" w:firstLineChars="200"/>
        <w:jc w:val="both"/>
        <w:rPr>
          <w:rFonts w:ascii="Times New Roman" w:hAnsi="Times New Roman" w:eastAsia="宋体" w:cs="Times New Roman"/>
          <w:color w:val="auto"/>
          <w:szCs w:val="32"/>
        </w:rPr>
      </w:pPr>
      <w:r>
        <w:rPr>
          <w:rFonts w:hint="eastAsia" w:ascii="Times New Roman" w:hAnsi="Times New Roman" w:eastAsia="宋体" w:cs="Times New Roman"/>
          <w:color w:val="auto"/>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本文件的规定在天津市政府采购中心招投标系统中提交网上应答并上传加盖投标人电子签章的电子投标文件（以通过天津公共资源电子签章客户端正确读取签章信息为准）。</w:t>
      </w:r>
    </w:p>
    <w:p w14:paraId="5F695CF7">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一、基本概况</w:t>
      </w:r>
    </w:p>
    <w:p w14:paraId="7D182A9B">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w:t>
      </w:r>
      <w:r>
        <w:rPr>
          <w:rFonts w:hint="eastAsia" w:ascii="Times New Roman" w:hAnsi="Times New Roman" w:eastAsia="宋体" w:cs="Times New Roman"/>
          <w:color w:val="auto"/>
        </w:rPr>
        <w:t>天津市消防救援总队机关基础设施日常零星维修项目</w:t>
      </w:r>
    </w:p>
    <w:p w14:paraId="43245656">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（二）项目编号：TGPC-202</w:t>
      </w:r>
      <w:r>
        <w:rPr>
          <w:rFonts w:hint="eastAsia" w:ascii="Times New Roman" w:hAnsi="Times New Roman" w:eastAsia="宋体" w:cs="Times New Roman"/>
          <w:color w:val="auto"/>
        </w:rPr>
        <w:t>6</w:t>
      </w:r>
      <w:r>
        <w:rPr>
          <w:rFonts w:ascii="Times New Roman" w:hAnsi="Times New Roman" w:eastAsia="宋体" w:cs="Times New Roman"/>
          <w:color w:val="auto"/>
        </w:rPr>
        <w:t>-</w:t>
      </w:r>
      <w:r>
        <w:rPr>
          <w:rFonts w:hint="eastAsia" w:ascii="Times New Roman" w:hAnsi="Times New Roman" w:eastAsia="宋体" w:cs="Times New Roman"/>
          <w:color w:val="auto"/>
        </w:rPr>
        <w:t>D</w:t>
      </w:r>
      <w:r>
        <w:rPr>
          <w:rFonts w:ascii="Times New Roman" w:hAnsi="Times New Roman" w:eastAsia="宋体" w:cs="Times New Roman"/>
          <w:color w:val="auto"/>
        </w:rPr>
        <w:t>-0070</w:t>
      </w:r>
    </w:p>
    <w:p w14:paraId="21A51769">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（三）采购方式：公开招标</w:t>
      </w:r>
    </w:p>
    <w:p w14:paraId="77242ECF">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（四）项目属性：服务</w:t>
      </w:r>
    </w:p>
    <w:p w14:paraId="1194A8A9">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（五）本项目不接受联合体参与。不接受联合体参与的，若有供应商组成联合体参与，视为无效投标。</w:t>
      </w:r>
    </w:p>
    <w:p w14:paraId="1CAF32B7">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（六）本文件售价：免费。</w:t>
      </w:r>
    </w:p>
    <w:p w14:paraId="3F61D3FD">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二、项目内容</w:t>
      </w:r>
    </w:p>
    <w:tbl>
      <w:tblPr>
        <w:tblStyle w:val="7"/>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1385"/>
        <w:gridCol w:w="1815"/>
        <w:gridCol w:w="1947"/>
        <w:gridCol w:w="1735"/>
        <w:gridCol w:w="1389"/>
      </w:tblGrid>
      <w:tr w14:paraId="66E7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8FAB125">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包号</w:t>
            </w:r>
          </w:p>
        </w:tc>
        <w:tc>
          <w:tcPr>
            <w:tcW w:w="1385" w:type="dxa"/>
            <w:vAlign w:val="center"/>
          </w:tcPr>
          <w:p w14:paraId="001B241A">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包名称</w:t>
            </w:r>
          </w:p>
        </w:tc>
        <w:tc>
          <w:tcPr>
            <w:tcW w:w="1815" w:type="dxa"/>
            <w:vAlign w:val="center"/>
          </w:tcPr>
          <w:p w14:paraId="6D28AF89">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包预算</w:t>
            </w:r>
          </w:p>
        </w:tc>
        <w:tc>
          <w:tcPr>
            <w:tcW w:w="1947" w:type="dxa"/>
            <w:vAlign w:val="center"/>
          </w:tcPr>
          <w:p w14:paraId="240A07BC">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包最高限价</w:t>
            </w:r>
          </w:p>
        </w:tc>
        <w:tc>
          <w:tcPr>
            <w:tcW w:w="1735" w:type="dxa"/>
            <w:vAlign w:val="center"/>
          </w:tcPr>
          <w:p w14:paraId="7D10F9EF">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合同履行期限</w:t>
            </w:r>
          </w:p>
        </w:tc>
        <w:tc>
          <w:tcPr>
            <w:tcW w:w="1389" w:type="dxa"/>
            <w:vAlign w:val="center"/>
          </w:tcPr>
          <w:p w14:paraId="36C1A5AA">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所属行业</w:t>
            </w:r>
          </w:p>
        </w:tc>
      </w:tr>
      <w:tr w14:paraId="5184A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AEDDEE6">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1</w:t>
            </w:r>
          </w:p>
        </w:tc>
        <w:tc>
          <w:tcPr>
            <w:tcW w:w="1385" w:type="dxa"/>
            <w:vAlign w:val="center"/>
          </w:tcPr>
          <w:p w14:paraId="7F3A7253">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rPr>
              <w:t>机关基础设施日常零星维修服务</w:t>
            </w:r>
          </w:p>
        </w:tc>
        <w:tc>
          <w:tcPr>
            <w:tcW w:w="1815" w:type="dxa"/>
            <w:vAlign w:val="center"/>
          </w:tcPr>
          <w:p w14:paraId="0A557C2D">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rPr>
              <w:t>600000</w:t>
            </w:r>
            <w:r>
              <w:rPr>
                <w:rFonts w:hint="eastAsia" w:ascii="Times New Roman" w:hAnsi="Times New Roman" w:eastAsia="宋体" w:cs="Times New Roman"/>
                <w:color w:val="auto"/>
                <w:sz w:val="21"/>
                <w:szCs w:val="21"/>
              </w:rPr>
              <w:t>元</w:t>
            </w:r>
          </w:p>
        </w:tc>
        <w:tc>
          <w:tcPr>
            <w:tcW w:w="1947" w:type="dxa"/>
            <w:vAlign w:val="center"/>
          </w:tcPr>
          <w:p w14:paraId="1C112FCD">
            <w:pPr>
              <w:pStyle w:val="12"/>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rPr>
              <w:t>600000</w:t>
            </w:r>
            <w:r>
              <w:rPr>
                <w:rFonts w:hint="eastAsia" w:ascii="Times New Roman" w:hAnsi="Times New Roman" w:eastAsia="宋体" w:cs="Times New Roman"/>
                <w:color w:val="auto"/>
                <w:sz w:val="21"/>
                <w:szCs w:val="21"/>
              </w:rPr>
              <w:t>元</w:t>
            </w:r>
          </w:p>
        </w:tc>
        <w:tc>
          <w:tcPr>
            <w:tcW w:w="1735" w:type="dxa"/>
            <w:vAlign w:val="center"/>
          </w:tcPr>
          <w:p w14:paraId="73F29200">
            <w:pPr>
              <w:pStyle w:val="12"/>
              <w:snapToGrid w:val="0"/>
              <w:rPr>
                <w:rFonts w:ascii="Times New Roman" w:hAnsi="Times New Roman" w:eastAsia="宋体" w:cs="Times New Roman"/>
                <w:color w:val="auto"/>
                <w:sz w:val="21"/>
                <w:szCs w:val="21"/>
              </w:rPr>
            </w:pPr>
            <w:r>
              <w:rPr>
                <w:rFonts w:hint="eastAsia" w:ascii="Times New Roman" w:hAnsi="Times New Roman" w:eastAsia="宋体" w:cs="Times New Roman"/>
                <w:color w:val="auto"/>
              </w:rPr>
              <w:t>签订合同之日起1年的服务期，若在服务期内，预算执行完毕，则服务期提前结束</w:t>
            </w:r>
          </w:p>
        </w:tc>
        <w:tc>
          <w:tcPr>
            <w:tcW w:w="1389" w:type="dxa"/>
            <w:vAlign w:val="center"/>
          </w:tcPr>
          <w:p w14:paraId="585AAB76">
            <w:pPr>
              <w:jc w:val="center"/>
              <w:rPr>
                <w:kern w:val="0"/>
                <w:sz w:val="24"/>
                <w:szCs w:val="24"/>
              </w:rPr>
            </w:pPr>
            <w:r>
              <w:rPr>
                <w:kern w:val="0"/>
                <w:sz w:val="24"/>
                <w:szCs w:val="24"/>
              </w:rPr>
              <w:t>建筑业</w:t>
            </w:r>
          </w:p>
        </w:tc>
      </w:tr>
    </w:tbl>
    <w:p w14:paraId="1C636CFF">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、供应商资格要求（实质性要求）</w:t>
      </w:r>
    </w:p>
    <w:p w14:paraId="7EDFB448">
      <w:pPr>
        <w:pStyle w:val="12"/>
        <w:spacing w:line="360" w:lineRule="auto"/>
        <w:ind w:firstLine="480" w:firstLineChars="200"/>
        <w:rPr>
          <w:rFonts w:ascii="Times New Roman" w:hAnsi="Times New Roman" w:cs="Times New Roman" w:eastAsiaTheme="minorEastAsia"/>
          <w:color w:val="auto"/>
        </w:rPr>
      </w:pPr>
      <w:r>
        <w:rPr>
          <w:rFonts w:hint="eastAsia" w:ascii="Times New Roman" w:hAnsi="Times New Roman" w:cs="Times New Roman" w:eastAsiaTheme="minorEastAsia"/>
          <w:color w:val="auto"/>
        </w:rPr>
        <w:t>（一）供应商应具备在有效期内的建筑工程施工总承包三级及以上资质，提供资质证书原件扫描件。</w:t>
      </w:r>
    </w:p>
    <w:p w14:paraId="4F105EE1">
      <w:pPr>
        <w:pStyle w:val="12"/>
        <w:spacing w:line="360" w:lineRule="auto"/>
        <w:ind w:firstLine="480" w:firstLineChars="200"/>
        <w:rPr>
          <w:rFonts w:ascii="Times New Roman" w:hAnsi="Times New Roman" w:cs="Times New Roman" w:eastAsiaTheme="minorEastAsia"/>
          <w:color w:val="auto"/>
        </w:rPr>
      </w:pPr>
      <w:r>
        <w:rPr>
          <w:rFonts w:hint="eastAsia" w:ascii="Times New Roman" w:hAnsi="Times New Roman" w:cs="Times New Roman" w:eastAsiaTheme="minorEastAsia"/>
          <w:color w:val="auto"/>
        </w:rPr>
        <w:t>（二）供应商应具备有效期内的《安全生产许可证》，提供证书原件扫描件。</w:t>
      </w:r>
    </w:p>
    <w:p w14:paraId="1E2AFDEE">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（三）负责本项目的经理应具备建设管理部门颁发的建筑工程专业二级及以上建造师证书，提供证书原件扫描件。</w:t>
      </w:r>
    </w:p>
    <w:p w14:paraId="4C0C1E84">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（四）供应商应具备《中华人民共和国政府采购法》第二十二条第一款和《政府采购法实施条例》第十八条规定的条件，</w:t>
      </w:r>
      <w:r>
        <w:rPr>
          <w:rFonts w:ascii="Times New Roman" w:hAnsi="Times New Roman" w:eastAsia="宋体" w:cs="Times New Roman"/>
          <w:color w:val="auto"/>
        </w:rPr>
        <w:t>提供以下材料：</w:t>
      </w:r>
    </w:p>
    <w:p w14:paraId="1AE11A7A">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营业执照副本或事业单位法人证书或民办非企业单位登记证书或社会团体法人登记证书或基金会法人登记证书扫描件或自然人的身份证明扫描件。</w:t>
      </w:r>
    </w:p>
    <w:p w14:paraId="0B82E6EF">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提供《供应商资格声明函》（格式见附件2）</w:t>
      </w:r>
    </w:p>
    <w:p w14:paraId="601FDF6D">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cs="Times New Roman" w:eastAsiaTheme="minorEastAsia"/>
          <w:color w:val="auto"/>
        </w:rPr>
        <w:t>（五）本项目专门面向中小企业采购，提供《中小企业声明函》。</w:t>
      </w:r>
    </w:p>
    <w:p w14:paraId="52963D60">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、项目需要落实的政府采购政策</w:t>
      </w:r>
    </w:p>
    <w:p w14:paraId="241A3B95">
      <w:pPr>
        <w:pStyle w:val="12"/>
        <w:spacing w:line="360" w:lineRule="auto"/>
        <w:ind w:firstLine="480" w:firstLineChars="200"/>
        <w:rPr>
          <w:rFonts w:ascii="Times New Roman" w:hAnsi="Times New Roman" w:eastAsia="宋体" w:cs="Times New Roman"/>
          <w:color w:val="auto"/>
        </w:rPr>
      </w:pPr>
      <w:bookmarkStart w:id="4" w:name="OLE_LINK3"/>
      <w:bookmarkStart w:id="5" w:name="OLE_LINK4"/>
      <w:r>
        <w:rPr>
          <w:rFonts w:ascii="Times New Roman" w:hAnsi="Times New Roman" w:eastAsia="宋体" w:cs="Times New Roman"/>
          <w:color w:val="auto"/>
        </w:rPr>
        <w:t>（一）</w:t>
      </w:r>
      <w:r>
        <w:rPr>
          <w:rFonts w:hint="eastAsia" w:ascii="Times New Roman" w:hAnsi="Times New Roman" w:cs="Times New Roman" w:eastAsiaTheme="minorEastAsia"/>
          <w:color w:val="auto"/>
        </w:rPr>
        <w:t>本项目专门面向中小企业采购</w:t>
      </w:r>
      <w:r>
        <w:rPr>
          <w:rFonts w:ascii="Times New Roman" w:hAnsi="Times New Roman" w:eastAsia="宋体" w:cs="Times New Roman"/>
          <w:color w:val="auto"/>
        </w:rPr>
        <w:t>。</w:t>
      </w:r>
    </w:p>
    <w:p w14:paraId="49D58DAA">
      <w:pPr>
        <w:pStyle w:val="12"/>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（二）根据财政部发布的《关于政府采购支持监狱企业发展有关问题的通知》规定，监狱企业视同小微企业。</w:t>
      </w:r>
    </w:p>
    <w:p w14:paraId="6026F6AA">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（三）</w:t>
      </w:r>
      <w:r>
        <w:rPr>
          <w:rFonts w:hint="eastAsia" w:ascii="Times New Roman" w:hAnsi="Times New Roman" w:eastAsia="宋体"/>
          <w:color w:val="auto"/>
        </w:rPr>
        <w:t>根据财政部、民政部、中国残疾人联合会发布的《关于促进残疾人就业政府采购政策的通知》规定，残疾人福利性单位视同小微企业。</w:t>
      </w:r>
    </w:p>
    <w:p w14:paraId="051A175D">
      <w:pPr>
        <w:pStyle w:val="12"/>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11F10F44">
      <w:pPr>
        <w:pStyle w:val="12"/>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4908317C">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4"/>
    <w:bookmarkEnd w:id="5"/>
    <w:p w14:paraId="29AEBEC2">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（六）</w:t>
      </w:r>
      <w:bookmarkStart w:id="6" w:name="OLE_LINK1"/>
      <w:bookmarkStart w:id="7" w:name="OLE_LINK2"/>
      <w:r>
        <w:rPr>
          <w:rFonts w:hint="eastAsia" w:ascii="Times New Roman" w:hAnsi="Times New Roman" w:eastAsia="宋体"/>
          <w:color w:val="auto"/>
        </w:rPr>
        <w:t>按照《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等文件要求，对</w:t>
      </w:r>
      <w:r>
        <w:rPr>
          <w:rFonts w:ascii="Times New Roman" w:hAnsi="Times New Roman" w:eastAsia="宋体"/>
          <w:color w:val="auto"/>
        </w:rPr>
        <w:t>政府采购节能、环境标志品目清单</w:t>
      </w:r>
      <w:r>
        <w:rPr>
          <w:rFonts w:hint="eastAsia" w:ascii="Times New Roman" w:hAnsi="Times New Roman" w:eastAsia="宋体"/>
          <w:color w:val="auto"/>
        </w:rPr>
        <w:t>内的产品实施优先采购和强制采购的评标方法。</w:t>
      </w:r>
      <w:bookmarkEnd w:id="6"/>
      <w:bookmarkEnd w:id="7"/>
    </w:p>
    <w:p w14:paraId="106A781D">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（七）根据《关于推动解决政府采购异常低价问题的通知》（财库〔2026〕2号）的要求，当供应商报价出现以下情形之一时，评标委员会应当启动对该供应商的异常低价审查程序：</w:t>
      </w:r>
    </w:p>
    <w:p w14:paraId="49749049">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供应商报价&lt;全部通过符合性审查供应商报价平均值×50%；</w:t>
      </w:r>
    </w:p>
    <w:p w14:paraId="04BFF923">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供应商报价&lt;通过符合性审查的次低供应商报价×50%；</w:t>
      </w:r>
    </w:p>
    <w:p w14:paraId="42AE1B26">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供应商报价&lt;最高限价×45%；</w:t>
      </w:r>
    </w:p>
    <w:p w14:paraId="31CE2DB6">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s="Times New Roman"/>
          <w:color w:val="auto"/>
        </w:rPr>
        <w:t>4. 评标委员会基于专业判断，认为供应商报价过低，有可能影响产品质量或者不能诚信履约的其他情形。</w:t>
      </w:r>
    </w:p>
    <w:p w14:paraId="7D4B1BD4">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五、参与本项目的步骤、时间与方式</w:t>
      </w:r>
    </w:p>
    <w:p w14:paraId="43B131D8">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（一）参与本项目的时间要求</w:t>
      </w:r>
    </w:p>
    <w:tbl>
      <w:tblPr>
        <w:tblStyle w:val="7"/>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941"/>
        <w:gridCol w:w="1891"/>
        <w:gridCol w:w="1891"/>
        <w:gridCol w:w="2632"/>
      </w:tblGrid>
      <w:tr w14:paraId="4C5BC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79" w:type="dxa"/>
            <w:vAlign w:val="center"/>
          </w:tcPr>
          <w:p w14:paraId="778CD44D">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序号</w:t>
            </w:r>
          </w:p>
        </w:tc>
        <w:tc>
          <w:tcPr>
            <w:tcW w:w="1941" w:type="dxa"/>
            <w:vAlign w:val="center"/>
          </w:tcPr>
          <w:p w14:paraId="3C33B8FC">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步骤名称</w:t>
            </w:r>
          </w:p>
        </w:tc>
        <w:tc>
          <w:tcPr>
            <w:tcW w:w="1891" w:type="dxa"/>
            <w:vAlign w:val="center"/>
          </w:tcPr>
          <w:p w14:paraId="4FF6530E">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开始时间</w:t>
            </w:r>
          </w:p>
        </w:tc>
        <w:tc>
          <w:tcPr>
            <w:tcW w:w="1891" w:type="dxa"/>
            <w:vAlign w:val="center"/>
          </w:tcPr>
          <w:p w14:paraId="0B57EBC6">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截止时间</w:t>
            </w:r>
          </w:p>
        </w:tc>
        <w:tc>
          <w:tcPr>
            <w:tcW w:w="2632" w:type="dxa"/>
            <w:vAlign w:val="center"/>
          </w:tcPr>
          <w:p w14:paraId="6008F0D6">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备注</w:t>
            </w:r>
          </w:p>
        </w:tc>
      </w:tr>
      <w:tr w14:paraId="1F8D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7D814BD0">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1</w:t>
            </w:r>
          </w:p>
        </w:tc>
        <w:tc>
          <w:tcPr>
            <w:tcW w:w="1941" w:type="dxa"/>
            <w:vAlign w:val="center"/>
          </w:tcPr>
          <w:p w14:paraId="4153C6BE">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获取招标文件</w:t>
            </w:r>
          </w:p>
        </w:tc>
        <w:tc>
          <w:tcPr>
            <w:tcW w:w="1891" w:type="dxa"/>
            <w:vAlign w:val="center"/>
          </w:tcPr>
          <w:p w14:paraId="0F506C17">
            <w:pPr>
              <w:pStyle w:val="12"/>
              <w:snapToGrid w:val="0"/>
              <w:jc w:val="center"/>
              <w:rPr>
                <w:rFonts w:ascii="Times New Roman" w:hAnsi="Times New Roman" w:eastAsia="宋体"/>
                <w:color w:val="auto"/>
                <w:sz w:val="21"/>
                <w:szCs w:val="21"/>
              </w:rPr>
            </w:pPr>
            <w:r>
              <w:rPr>
                <w:rFonts w:ascii="Times New Roman" w:hAnsi="Times New Roman" w:eastAsia="宋体" w:cs="Times New Roman"/>
                <w:color w:val="auto"/>
                <w:sz w:val="21"/>
                <w:szCs w:val="21"/>
              </w:rPr>
              <w:t>2026年</w:t>
            </w:r>
            <w:r>
              <w:rPr>
                <w:rFonts w:hint="eastAsia" w:ascii="Times New Roman" w:hAnsi="Times New Roman" w:eastAsia="宋体" w:cs="Times New Roman"/>
                <w:color w:val="auto"/>
                <w:sz w:val="21"/>
                <w:szCs w:val="21"/>
              </w:rPr>
              <w:t>2</w:t>
            </w:r>
            <w:r>
              <w:rPr>
                <w:rFonts w:ascii="Times New Roman" w:hAnsi="Times New Roman" w:eastAsia="宋体" w:cs="Times New Roman"/>
                <w:color w:val="auto"/>
                <w:sz w:val="21"/>
                <w:szCs w:val="21"/>
              </w:rPr>
              <w:t>月</w:t>
            </w:r>
            <w:r>
              <w:rPr>
                <w:rFonts w:hint="eastAsia" w:ascii="Times New Roman" w:hAnsi="Times New Roman" w:eastAsia="宋体" w:cs="Times New Roman"/>
                <w:color w:val="auto"/>
                <w:sz w:val="21"/>
                <w:szCs w:val="21"/>
              </w:rPr>
              <w:t>6</w:t>
            </w:r>
            <w:r>
              <w:rPr>
                <w:rFonts w:ascii="Times New Roman" w:hAnsi="Times New Roman" w:eastAsia="宋体" w:cs="Times New Roman"/>
                <w:color w:val="auto"/>
                <w:sz w:val="21"/>
                <w:szCs w:val="21"/>
              </w:rPr>
              <w:t>日</w:t>
            </w:r>
          </w:p>
        </w:tc>
        <w:tc>
          <w:tcPr>
            <w:tcW w:w="1891" w:type="dxa"/>
            <w:vAlign w:val="center"/>
          </w:tcPr>
          <w:p w14:paraId="5EC4C820">
            <w:pPr>
              <w:pStyle w:val="12"/>
              <w:snapToGrid w:val="0"/>
              <w:jc w:val="center"/>
              <w:rPr>
                <w:rFonts w:ascii="Times New Roman" w:hAnsi="Times New Roman" w:eastAsia="宋体"/>
                <w:color w:val="auto"/>
                <w:sz w:val="21"/>
                <w:szCs w:val="21"/>
              </w:rPr>
            </w:pPr>
            <w:r>
              <w:rPr>
                <w:rFonts w:ascii="Times New Roman" w:hAnsi="Times New Roman" w:eastAsia="宋体" w:cs="Times New Roman"/>
                <w:color w:val="auto"/>
                <w:sz w:val="21"/>
                <w:szCs w:val="21"/>
              </w:rPr>
              <w:t>2026年</w:t>
            </w:r>
            <w:r>
              <w:rPr>
                <w:rFonts w:hint="eastAsia" w:ascii="Times New Roman" w:hAnsi="Times New Roman" w:eastAsia="宋体" w:cs="Times New Roman"/>
                <w:color w:val="auto"/>
                <w:sz w:val="21"/>
                <w:szCs w:val="21"/>
              </w:rPr>
              <w:t>2</w:t>
            </w:r>
            <w:r>
              <w:rPr>
                <w:rFonts w:ascii="Times New Roman" w:hAnsi="Times New Roman" w:eastAsia="宋体" w:cs="Times New Roman"/>
                <w:color w:val="auto"/>
                <w:sz w:val="21"/>
                <w:szCs w:val="21"/>
              </w:rPr>
              <w:t>月</w:t>
            </w:r>
            <w:r>
              <w:rPr>
                <w:rFonts w:hint="eastAsia" w:ascii="Times New Roman" w:hAnsi="Times New Roman" w:eastAsia="宋体" w:cs="Times New Roman"/>
                <w:color w:val="auto"/>
                <w:sz w:val="21"/>
                <w:szCs w:val="21"/>
              </w:rPr>
              <w:t>13</w:t>
            </w:r>
            <w:r>
              <w:rPr>
                <w:rFonts w:ascii="Times New Roman" w:hAnsi="Times New Roman" w:eastAsia="宋体" w:cs="Times New Roman"/>
                <w:color w:val="auto"/>
                <w:sz w:val="21"/>
                <w:szCs w:val="21"/>
              </w:rPr>
              <w:t>日</w:t>
            </w:r>
          </w:p>
        </w:tc>
        <w:tc>
          <w:tcPr>
            <w:tcW w:w="2632" w:type="dxa"/>
            <w:vAlign w:val="center"/>
          </w:tcPr>
          <w:p w14:paraId="62A1820B">
            <w:pPr>
              <w:pStyle w:val="12"/>
              <w:snapToGrid w:val="0"/>
              <w:jc w:val="both"/>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每日9:00至17:00（北京时间，法定节假日除外）。</w:t>
            </w:r>
          </w:p>
          <w:p w14:paraId="4252B95C">
            <w:pPr>
              <w:pStyle w:val="12"/>
              <w:snapToGrid w:val="0"/>
              <w:jc w:val="both"/>
              <w:rPr>
                <w:rFonts w:ascii="Times New Roman" w:hAnsi="Times New Roman" w:eastAsia="宋体"/>
                <w:color w:val="auto"/>
                <w:sz w:val="21"/>
                <w:szCs w:val="21"/>
              </w:rPr>
            </w:pPr>
            <w:r>
              <w:rPr>
                <w:rFonts w:hint="eastAsia" w:ascii="Times New Roman" w:hAnsi="Times New Roman" w:eastAsia="宋体" w:cs="Times New Roman"/>
                <w:color w:val="auto"/>
                <w:sz w:val="21"/>
                <w:szCs w:val="21"/>
              </w:rPr>
              <w:t>未按时获取招标文件的，不能参与本项目</w:t>
            </w:r>
          </w:p>
        </w:tc>
      </w:tr>
      <w:tr w14:paraId="20835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779" w:type="dxa"/>
            <w:vAlign w:val="center"/>
          </w:tcPr>
          <w:p w14:paraId="5243000D">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w:t>
            </w:r>
          </w:p>
        </w:tc>
        <w:tc>
          <w:tcPr>
            <w:tcW w:w="1941" w:type="dxa"/>
            <w:vAlign w:val="center"/>
          </w:tcPr>
          <w:p w14:paraId="72B39483">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网上应答（上传电子投标文件）</w:t>
            </w:r>
          </w:p>
        </w:tc>
        <w:tc>
          <w:tcPr>
            <w:tcW w:w="1891" w:type="dxa"/>
            <w:vAlign w:val="center"/>
          </w:tcPr>
          <w:p w14:paraId="1F9B0970">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2026年2月6日9:00</w:t>
            </w:r>
          </w:p>
        </w:tc>
        <w:tc>
          <w:tcPr>
            <w:tcW w:w="1891" w:type="dxa"/>
            <w:vAlign w:val="center"/>
          </w:tcPr>
          <w:p w14:paraId="1D21D7F2">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2026年2月27日8:30</w:t>
            </w:r>
          </w:p>
        </w:tc>
        <w:tc>
          <w:tcPr>
            <w:tcW w:w="2632" w:type="dxa"/>
            <w:vAlign w:val="center"/>
          </w:tcPr>
          <w:p w14:paraId="4B13827F">
            <w:pPr>
              <w:pStyle w:val="12"/>
              <w:snapToGrid w:val="0"/>
              <w:jc w:val="both"/>
              <w:rPr>
                <w:rFonts w:ascii="Times New Roman" w:hAnsi="Times New Roman" w:eastAsia="宋体"/>
                <w:color w:val="auto"/>
                <w:sz w:val="21"/>
                <w:szCs w:val="21"/>
              </w:rPr>
            </w:pPr>
            <w:r>
              <w:rPr>
                <w:rFonts w:hint="eastAsia" w:ascii="Times New Roman" w:hAnsi="Times New Roman" w:eastAsia="宋体"/>
                <w:color w:val="auto"/>
                <w:sz w:val="21"/>
                <w:szCs w:val="21"/>
              </w:rPr>
              <w:t>未按时完成网上应答或未按时上传电子投标文件的，视为无效投标。</w:t>
            </w:r>
          </w:p>
        </w:tc>
      </w:tr>
      <w:tr w14:paraId="78B8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1D385897">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3</w:t>
            </w:r>
          </w:p>
        </w:tc>
        <w:tc>
          <w:tcPr>
            <w:tcW w:w="1941" w:type="dxa"/>
            <w:vAlign w:val="center"/>
          </w:tcPr>
          <w:p w14:paraId="38E9E599">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开标解密</w:t>
            </w:r>
          </w:p>
        </w:tc>
        <w:tc>
          <w:tcPr>
            <w:tcW w:w="1891" w:type="dxa"/>
            <w:vAlign w:val="center"/>
          </w:tcPr>
          <w:p w14:paraId="24E34325">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2026年2月27日8:30</w:t>
            </w:r>
          </w:p>
        </w:tc>
        <w:tc>
          <w:tcPr>
            <w:tcW w:w="1891" w:type="dxa"/>
            <w:vAlign w:val="center"/>
          </w:tcPr>
          <w:p w14:paraId="6078873F">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2026年2月27日9:30</w:t>
            </w:r>
          </w:p>
        </w:tc>
        <w:tc>
          <w:tcPr>
            <w:tcW w:w="2632" w:type="dxa"/>
            <w:vAlign w:val="center"/>
          </w:tcPr>
          <w:p w14:paraId="241A5B63">
            <w:pPr>
              <w:pStyle w:val="12"/>
              <w:snapToGrid w:val="0"/>
              <w:jc w:val="both"/>
              <w:rPr>
                <w:rFonts w:ascii="Times New Roman" w:hAnsi="Times New Roman" w:eastAsia="宋体"/>
                <w:color w:val="auto"/>
                <w:sz w:val="21"/>
                <w:szCs w:val="21"/>
              </w:rPr>
            </w:pPr>
            <w:r>
              <w:rPr>
                <w:rFonts w:hint="eastAsia" w:ascii="Times New Roman" w:hAnsi="Times New Roman" w:eastAsia="宋体"/>
                <w:color w:val="auto"/>
                <w:sz w:val="21"/>
                <w:szCs w:val="21"/>
              </w:rPr>
              <w:t>未按时完成开标解密的，视为无效投标。</w:t>
            </w:r>
          </w:p>
        </w:tc>
      </w:tr>
      <w:tr w14:paraId="3EBC4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19FFB641">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4</w:t>
            </w:r>
          </w:p>
        </w:tc>
        <w:tc>
          <w:tcPr>
            <w:tcW w:w="1941" w:type="dxa"/>
            <w:vAlign w:val="center"/>
          </w:tcPr>
          <w:p w14:paraId="7F527120">
            <w:pPr>
              <w:pStyle w:val="12"/>
              <w:snapToGrid w:val="0"/>
              <w:jc w:val="center"/>
              <w:rPr>
                <w:rFonts w:ascii="Times New Roman" w:hAnsi="Times New Roman" w:eastAsia="宋体"/>
                <w:color w:val="auto"/>
                <w:sz w:val="21"/>
                <w:szCs w:val="21"/>
              </w:rPr>
            </w:pPr>
            <w:r>
              <w:rPr>
                <w:rFonts w:ascii="Times New Roman" w:hAnsi="Times New Roman" w:eastAsia="宋体"/>
                <w:color w:val="auto"/>
                <w:sz w:val="21"/>
                <w:szCs w:val="21"/>
              </w:rPr>
              <w:t>网上开标公示</w:t>
            </w:r>
          </w:p>
        </w:tc>
        <w:tc>
          <w:tcPr>
            <w:tcW w:w="1891" w:type="dxa"/>
            <w:vAlign w:val="center"/>
          </w:tcPr>
          <w:p w14:paraId="1691EF0C">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2026年2月27日9:30</w:t>
            </w:r>
          </w:p>
        </w:tc>
        <w:tc>
          <w:tcPr>
            <w:tcW w:w="1891" w:type="dxa"/>
            <w:vAlign w:val="center"/>
          </w:tcPr>
          <w:p w14:paraId="3023CF8D">
            <w:pPr>
              <w:pStyle w:val="12"/>
              <w:snapToGrid w:val="0"/>
              <w:jc w:val="center"/>
              <w:rPr>
                <w:rFonts w:ascii="Times New Roman" w:hAnsi="Times New Roman" w:eastAsia="宋体"/>
                <w:color w:val="auto"/>
                <w:sz w:val="21"/>
                <w:szCs w:val="21"/>
              </w:rPr>
            </w:pPr>
            <w:r>
              <w:rPr>
                <w:rFonts w:hint="eastAsia" w:ascii="Times New Roman" w:hAnsi="Times New Roman" w:eastAsia="宋体"/>
                <w:color w:val="auto"/>
                <w:sz w:val="21"/>
                <w:szCs w:val="21"/>
              </w:rPr>
              <w:t>2026年2月27日12:00</w:t>
            </w:r>
          </w:p>
        </w:tc>
        <w:tc>
          <w:tcPr>
            <w:tcW w:w="2632" w:type="dxa"/>
            <w:vAlign w:val="center"/>
          </w:tcPr>
          <w:p w14:paraId="659B60B1">
            <w:pPr>
              <w:pStyle w:val="12"/>
              <w:snapToGrid w:val="0"/>
              <w:jc w:val="both"/>
              <w:rPr>
                <w:rFonts w:ascii="Times New Roman" w:hAnsi="Times New Roman" w:eastAsia="宋体"/>
                <w:color w:val="auto"/>
                <w:sz w:val="21"/>
                <w:szCs w:val="21"/>
              </w:rPr>
            </w:pPr>
          </w:p>
        </w:tc>
      </w:tr>
    </w:tbl>
    <w:p w14:paraId="17858ECB">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（二）参与本项目的方式要求</w:t>
      </w:r>
    </w:p>
    <w:p w14:paraId="7FC495FB">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 供应商注册、</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7DC8932D">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ascii="Times New Roman" w:hAnsi="Times New Roman" w:eastAsia="宋体" w:cs="Times New Roman"/>
          <w:color w:val="auto"/>
        </w:rPr>
        <w:t>24538167</w:t>
      </w:r>
      <w:r>
        <w:rPr>
          <w:rFonts w:hint="eastAsia" w:ascii="Times New Roman" w:hAnsi="Times New Roman" w:eastAsia="宋体"/>
          <w:color w:val="auto"/>
        </w:rPr>
        <w:t>。</w:t>
      </w:r>
    </w:p>
    <w:p w14:paraId="4E2273F7">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w:t>
      </w:r>
      <w:r>
        <w:rPr>
          <w:rFonts w:ascii="Times New Roman" w:hAnsi="Times New Roman" w:eastAsia="宋体" w:cs="Times New Roman"/>
          <w:color w:val="auto"/>
        </w:rPr>
        <w:t>--</w:t>
      </w:r>
      <w:r>
        <w:rPr>
          <w:rFonts w:hint="eastAsia" w:ascii="Times New Roman" w:hAnsi="Times New Roman" w:eastAsia="宋体" w:cs="Times New Roman"/>
          <w:color w:val="auto"/>
        </w:rPr>
        <w:t>服务指南</w:t>
      </w:r>
      <w:r>
        <w:rPr>
          <w:rFonts w:ascii="Times New Roman" w:hAnsi="Times New Roman" w:eastAsia="宋体" w:cs="Times New Roman"/>
          <w:color w:val="auto"/>
        </w:rPr>
        <w:t>--</w:t>
      </w:r>
      <w:r>
        <w:rPr>
          <w:rFonts w:hint="eastAsia" w:ascii="Times New Roman" w:hAnsi="Times New Roman" w:eastAsia="宋体" w:cs="Times New Roman"/>
          <w:color w:val="auto"/>
        </w:rPr>
        <w:t>供应商注册、领取</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）及电子签章制章的流程。</w:t>
      </w:r>
    </w:p>
    <w:p w14:paraId="7F5205C0">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数字证书办理联系电话：</w:t>
      </w:r>
      <w:r>
        <w:rPr>
          <w:rFonts w:ascii="Times New Roman" w:hAnsi="Times New Roman" w:eastAsia="宋体" w:cs="Times New Roman"/>
          <w:color w:val="auto"/>
        </w:rPr>
        <w:t>400-0566-110</w:t>
      </w:r>
      <w:r>
        <w:rPr>
          <w:rFonts w:hint="eastAsia" w:ascii="Times New Roman" w:hAnsi="Times New Roman" w:eastAsia="宋体" w:cs="Times New Roman"/>
          <w:color w:val="auto"/>
        </w:rPr>
        <w:t>或</w:t>
      </w:r>
      <w:r>
        <w:rPr>
          <w:rFonts w:ascii="Times New Roman" w:hAnsi="Times New Roman" w:eastAsia="宋体" w:cs="Times New Roman"/>
          <w:color w:val="auto"/>
        </w:rPr>
        <w:t>022-24538059</w:t>
      </w:r>
      <w:r>
        <w:rPr>
          <w:rFonts w:hint="eastAsia" w:ascii="Times New Roman" w:hAnsi="Times New Roman" w:eastAsia="宋体" w:cs="Times New Roman"/>
          <w:color w:val="auto"/>
        </w:rPr>
        <w:t>。</w:t>
      </w:r>
    </w:p>
    <w:p w14:paraId="6EF349EF">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w:t>
      </w:r>
      <w:r>
        <w:rPr>
          <w:rFonts w:ascii="Times New Roman" w:hAnsi="Times New Roman" w:eastAsia="宋体" w:cs="Times New Roman"/>
          <w:color w:val="auto"/>
        </w:rPr>
        <w:t>022-24538</w:t>
      </w:r>
      <w:r>
        <w:rPr>
          <w:rFonts w:hint="eastAsia" w:ascii="Times New Roman" w:hAnsi="Times New Roman" w:eastAsia="宋体" w:cs="Times New Roman"/>
          <w:color w:val="auto"/>
        </w:rPr>
        <w:t>059。</w:t>
      </w:r>
    </w:p>
    <w:p w14:paraId="14551AE6">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 xml:space="preserve">2. </w:t>
      </w:r>
      <w:r>
        <w:rPr>
          <w:rFonts w:ascii="Times New Roman" w:hAnsi="Times New Roman" w:eastAsia="宋体" w:cs="Times New Roman"/>
          <w:color w:val="auto"/>
        </w:rPr>
        <w:t>获取招标文件的方式</w:t>
      </w:r>
    </w:p>
    <w:p w14:paraId="411BA392">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采用</w:t>
      </w:r>
      <w:r>
        <w:rPr>
          <w:rFonts w:ascii="Times New Roman" w:hAnsi="Times New Roman" w:eastAsia="宋体" w:cs="Times New Roman"/>
          <w:color w:val="auto"/>
        </w:rPr>
        <w:t>网上获取电子</w:t>
      </w:r>
      <w:r>
        <w:rPr>
          <w:rFonts w:hint="eastAsia" w:ascii="Times New Roman" w:hAnsi="Times New Roman" w:eastAsia="宋体" w:cs="Times New Roman"/>
          <w:color w:val="auto"/>
        </w:rPr>
        <w:t>招标</w:t>
      </w:r>
      <w:r>
        <w:rPr>
          <w:rFonts w:ascii="Times New Roman" w:hAnsi="Times New Roman" w:eastAsia="宋体" w:cs="Times New Roman"/>
          <w:color w:val="auto"/>
        </w:rPr>
        <w:t>文件的方式，供应商应于规定的时间内使用天津数字认证有限公司发出的CA数字证书（原天津市电子认证中心发出尚在有效期内的CA数字证书仍可使用）登录天津市政府采购中心网（网址：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Style w:val="9"/>
          <w:rFonts w:hint="eastAsia" w:ascii="Times New Roman" w:hAnsi="Times New Roman" w:eastAsia="宋体" w:cs="Times New Roman"/>
        </w:rPr>
        <w:t>http://tjgpc.zwfwb.tj.gov.cn</w:t>
      </w:r>
      <w:r>
        <w:rPr>
          <w:rStyle w:val="9"/>
          <w:rFonts w:hint="eastAsia" w:ascii="Times New Roman" w:hAnsi="Times New Roman" w:eastAsia="宋体" w:cs="Times New Roman"/>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398D1E54">
      <w:pPr>
        <w:pStyle w:val="12"/>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3. 网上应答（上传电子投标文件）方式</w:t>
      </w:r>
    </w:p>
    <w:p w14:paraId="77DEB73A">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采用网上电子投标方式，投标人</w:t>
      </w:r>
      <w:r>
        <w:rPr>
          <w:rFonts w:hint="eastAsia" w:ascii="Times New Roman" w:hAnsi="Times New Roman" w:eastAsia="宋体" w:cs="Times New Roman"/>
          <w:color w:val="auto"/>
        </w:rPr>
        <w:t>应</w:t>
      </w:r>
      <w:r>
        <w:rPr>
          <w:rFonts w:ascii="Times New Roman" w:hAnsi="Times New Roman" w:eastAsia="宋体" w:cs="Times New Roman"/>
          <w:color w:val="auto"/>
        </w:rPr>
        <w:t>于</w:t>
      </w:r>
      <w:r>
        <w:rPr>
          <w:rFonts w:hint="eastAsia" w:ascii="Times New Roman" w:hAnsi="Times New Roman" w:eastAsia="宋体" w:cs="Times New Roman"/>
          <w:color w:val="auto"/>
        </w:rPr>
        <w:t>规定</w:t>
      </w:r>
      <w:r>
        <w:rPr>
          <w:rFonts w:ascii="Times New Roman" w:hAnsi="Times New Roman" w:eastAsia="宋体" w:cs="Times New Roman"/>
          <w:color w:val="auto"/>
        </w:rPr>
        <w:t>的时间</w:t>
      </w:r>
      <w:r>
        <w:rPr>
          <w:rFonts w:hint="eastAsia" w:ascii="Times New Roman" w:hAnsi="Times New Roman" w:eastAsia="宋体" w:cs="Times New Roman"/>
          <w:color w:val="auto"/>
        </w:rPr>
        <w:t>内</w:t>
      </w:r>
      <w:r>
        <w:rPr>
          <w:rFonts w:ascii="Times New Roman" w:hAnsi="Times New Roman" w:eastAsia="宋体" w:cs="Times New Roman"/>
          <w:color w:val="auto"/>
        </w:rPr>
        <w:t>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w:t>
      </w:r>
      <w:r>
        <w:rPr>
          <w:rFonts w:ascii="Times New Roman" w:hAnsi="Times New Roman" w:eastAsia="宋体" w:cs="Times New Roman"/>
          <w:color w:val="auto"/>
        </w:rPr>
        <w:t xml:space="preserve"> 进行网上应答</w:t>
      </w:r>
      <w:r>
        <w:rPr>
          <w:rFonts w:hint="eastAsia" w:ascii="Times New Roman" w:hAnsi="Times New Roman" w:eastAsia="宋体" w:cs="Times New Roman"/>
          <w:color w:val="auto"/>
        </w:rPr>
        <w:t>及提交，并上传加盖投标人电子签章的电子投标文件（以通过天津公共资源电子签章客户端正确读取签章信息为准），否则视为无效投标。</w:t>
      </w:r>
    </w:p>
    <w:p w14:paraId="7983A526">
      <w:pPr>
        <w:pStyle w:val="12"/>
        <w:spacing w:line="360" w:lineRule="auto"/>
        <w:ind w:firstLine="480" w:firstLineChars="200"/>
        <w:rPr>
          <w:rFonts w:ascii="Times New Roman" w:hAnsi="Times New Roman" w:eastAsia="宋体"/>
          <w:color w:val="auto"/>
        </w:rPr>
      </w:pPr>
      <w:r>
        <w:rPr>
          <w:rFonts w:ascii="Times New Roman" w:hAnsi="Times New Roman" w:eastAsia="宋体" w:cs="Times New Roman"/>
          <w:color w:val="auto"/>
        </w:rPr>
        <w:t>网上应答帮助链接：http://tjgpc.zwfwb.tj.gov.cn/webInfo/getWebInfoListForwebInfoClass.do?fkWebInfoclassId=W008</w:t>
      </w:r>
    </w:p>
    <w:p w14:paraId="1A1086B2">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4. 开标解密方式</w:t>
      </w:r>
    </w:p>
    <w:p w14:paraId="262D639A">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采用网上开标解密方式，投标人</w:t>
      </w:r>
      <w:r>
        <w:rPr>
          <w:rFonts w:hint="eastAsia" w:ascii="Times New Roman" w:hAnsi="Times New Roman" w:eastAsia="宋体" w:cs="Times New Roman"/>
          <w:color w:val="auto"/>
        </w:rPr>
        <w:t>应</w:t>
      </w:r>
      <w:r>
        <w:rPr>
          <w:rFonts w:ascii="Times New Roman" w:hAnsi="Times New Roman" w:eastAsia="宋体" w:cs="Times New Roman"/>
          <w:color w:val="auto"/>
        </w:rPr>
        <w:t>于</w:t>
      </w:r>
      <w:r>
        <w:rPr>
          <w:rFonts w:hint="eastAsia" w:ascii="Times New Roman" w:hAnsi="Times New Roman" w:eastAsia="宋体" w:cs="Times New Roman"/>
          <w:color w:val="auto"/>
        </w:rPr>
        <w:t>规定的时间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r>
        <w:rPr>
          <w:rFonts w:hint="eastAsia" w:ascii="Times New Roman" w:hAnsi="Times New Roman" w:eastAsia="宋体" w:cs="Times New Roman"/>
          <w:color w:val="auto"/>
        </w:rPr>
        <w:t>，否则视为无效投标。</w:t>
      </w:r>
    </w:p>
    <w:p w14:paraId="29F76C8E">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5. </w:t>
      </w:r>
      <w:r>
        <w:rPr>
          <w:rFonts w:ascii="Times New Roman" w:hAnsi="Times New Roman" w:eastAsia="宋体" w:cs="Times New Roman"/>
          <w:color w:val="auto"/>
        </w:rPr>
        <w:t>网上开标公示方式</w:t>
      </w:r>
    </w:p>
    <w:p w14:paraId="3902D055">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2652F92B">
      <w:pPr>
        <w:pStyle w:val="12"/>
        <w:spacing w:line="360" w:lineRule="auto"/>
        <w:ind w:firstLine="480" w:firstLineChars="200"/>
        <w:rPr>
          <w:rFonts w:ascii="Times New Roman" w:hAnsi="Times New Roman" w:eastAsia="宋体"/>
          <w:color w:val="auto"/>
        </w:rPr>
      </w:pPr>
      <w:r>
        <w:rPr>
          <w:rFonts w:hint="eastAsia" w:ascii="Times New Roman" w:hAnsi="Times New Roman" w:eastAsia="宋体"/>
          <w:color w:val="auto"/>
        </w:rPr>
        <w:t>供应商应按以上步骤顺序、时间及方式要求参与本项目，否则视为不参与本项目。</w:t>
      </w:r>
    </w:p>
    <w:p w14:paraId="75638672">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六、现场考察、标前答疑会</w:t>
      </w:r>
    </w:p>
    <w:p w14:paraId="4A0CFF05">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 本项目不组织现场考察</w:t>
      </w:r>
      <w:r>
        <w:rPr>
          <w:rFonts w:ascii="Times New Roman" w:hAnsi="Times New Roman" w:eastAsia="宋体" w:cs="Times New Roman"/>
          <w:color w:val="auto"/>
        </w:rPr>
        <w:t>。</w:t>
      </w:r>
    </w:p>
    <w:p w14:paraId="2C789571">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本项目不组织标前答疑会</w:t>
      </w:r>
      <w:r>
        <w:rPr>
          <w:rFonts w:ascii="Times New Roman" w:hAnsi="Times New Roman" w:eastAsia="宋体" w:cs="Times New Roman"/>
          <w:color w:val="auto"/>
        </w:rPr>
        <w:t>。</w:t>
      </w:r>
    </w:p>
    <w:p w14:paraId="27BE817B">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七、采购代理机构</w:t>
      </w:r>
      <w:r>
        <w:rPr>
          <w:rFonts w:hint="eastAsia" w:ascii="Times New Roman" w:hAnsi="Times New Roman" w:eastAsia="宋体" w:cs="Times New Roman"/>
          <w:color w:val="auto"/>
        </w:rPr>
        <w:t>信息</w:t>
      </w:r>
    </w:p>
    <w:p w14:paraId="07506EBC">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7B020E1D">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51C4F48E">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联系人：</w:t>
      </w:r>
      <w:r>
        <w:rPr>
          <w:rFonts w:hint="eastAsia" w:ascii="Times New Roman" w:hAnsi="Times New Roman" w:eastAsia="宋体" w:cs="Times New Roman"/>
          <w:color w:val="auto"/>
        </w:rPr>
        <w:t>李楠</w:t>
      </w:r>
    </w:p>
    <w:p w14:paraId="28F7A344">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网址：http://tjgpc.zwfwb.tj.gov.cn</w:t>
      </w:r>
    </w:p>
    <w:p w14:paraId="28B3C1B4">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2C3D197A">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（六）咨询服务电话</w:t>
      </w:r>
      <w:r>
        <w:rPr>
          <w:rFonts w:ascii="Times New Roman" w:hAnsi="Times New Roman" w:eastAsia="宋体" w:cs="Times New Roman"/>
          <w:color w:val="auto"/>
        </w:rPr>
        <w:t>：</w:t>
      </w:r>
    </w:p>
    <w:p w14:paraId="1996A0B3">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 供应商注册咨询</w:t>
      </w:r>
      <w:r>
        <w:rPr>
          <w:rFonts w:hint="eastAsia" w:ascii="Times New Roman" w:hAnsi="Times New Roman" w:eastAsia="宋体" w:cs="Times New Roman"/>
          <w:color w:val="auto"/>
        </w:rPr>
        <w:t>：</w:t>
      </w:r>
      <w:r>
        <w:rPr>
          <w:rFonts w:ascii="Times New Roman" w:hAnsi="Times New Roman" w:eastAsia="宋体" w:cs="Times New Roman"/>
          <w:color w:val="auto"/>
        </w:rPr>
        <w:t>022-24538167</w:t>
      </w:r>
    </w:p>
    <w:p w14:paraId="692DB67F">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w:t>
      </w:r>
      <w:r>
        <w:rPr>
          <w:rFonts w:ascii="Times New Roman" w:hAnsi="Times New Roman" w:eastAsia="宋体" w:cs="Times New Roman"/>
          <w:color w:val="auto"/>
        </w:rPr>
        <w:t>电子签章办理咨询：</w:t>
      </w:r>
      <w:r>
        <w:rPr>
          <w:rFonts w:hint="eastAsia" w:ascii="Times New Roman" w:hAnsi="Times New Roman" w:eastAsia="宋体" w:cs="Times New Roman"/>
          <w:color w:val="auto"/>
        </w:rPr>
        <w:t>022-24538059</w:t>
      </w:r>
    </w:p>
    <w:p w14:paraId="172CABF8">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w:t>
      </w:r>
      <w:r>
        <w:rPr>
          <w:rFonts w:ascii="Times New Roman" w:hAnsi="Times New Roman" w:eastAsia="宋体" w:cs="Times New Roman"/>
          <w:color w:val="auto"/>
        </w:rPr>
        <w:t>. 采购文件咨询：022-2453</w:t>
      </w:r>
      <w:r>
        <w:rPr>
          <w:rFonts w:hint="eastAsia" w:ascii="Times New Roman" w:hAnsi="Times New Roman" w:eastAsia="宋体" w:cs="Times New Roman"/>
          <w:color w:val="auto"/>
        </w:rPr>
        <w:t>8319</w:t>
      </w:r>
    </w:p>
    <w:p w14:paraId="4EEED8E5">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w:t>
      </w:r>
      <w:r>
        <w:rPr>
          <w:rFonts w:ascii="Times New Roman" w:hAnsi="Times New Roman" w:eastAsia="宋体" w:cs="Times New Roman"/>
          <w:color w:val="auto"/>
        </w:rPr>
        <w:t>. 网上应答</w:t>
      </w:r>
      <w:r>
        <w:rPr>
          <w:rFonts w:hint="eastAsia" w:ascii="Times New Roman" w:hAnsi="Times New Roman" w:eastAsia="宋体" w:cs="Times New Roman"/>
          <w:color w:val="auto"/>
        </w:rPr>
        <w:t>及</w:t>
      </w:r>
      <w:r>
        <w:rPr>
          <w:rFonts w:ascii="Times New Roman" w:hAnsi="Times New Roman" w:eastAsia="宋体" w:cs="Times New Roman"/>
          <w:color w:val="auto"/>
        </w:rPr>
        <w:t>解密操作咨询：022-24538309</w:t>
      </w:r>
    </w:p>
    <w:p w14:paraId="0AA85490">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八</w:t>
      </w:r>
      <w:r>
        <w:rPr>
          <w:rFonts w:ascii="Times New Roman" w:hAnsi="Times New Roman" w:eastAsia="宋体" w:cs="Times New Roman"/>
          <w:color w:val="auto"/>
        </w:rPr>
        <w:t>、采购人</w:t>
      </w:r>
      <w:r>
        <w:rPr>
          <w:rFonts w:hint="eastAsia" w:ascii="Times New Roman" w:hAnsi="Times New Roman" w:eastAsia="宋体" w:cs="Times New Roman"/>
          <w:color w:val="auto"/>
        </w:rPr>
        <w:t>信息</w:t>
      </w:r>
    </w:p>
    <w:p w14:paraId="439A4C0A">
      <w:pPr>
        <w:pStyle w:val="12"/>
        <w:spacing w:line="360" w:lineRule="auto"/>
        <w:ind w:firstLine="480" w:firstLineChars="200"/>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t>（一）采购人名称：</w:t>
      </w:r>
      <w:r>
        <w:rPr>
          <w:rFonts w:hint="eastAsia" w:ascii="Times New Roman" w:hAnsi="Times New Roman" w:eastAsia="宋体" w:cs="Times New Roman"/>
          <w:color w:val="000000" w:themeColor="text1"/>
          <w14:textFill>
            <w14:solidFill>
              <w14:schemeClr w14:val="tx1"/>
            </w14:solidFill>
          </w14:textFill>
        </w:rPr>
        <w:t>天津市消防救援总队</w:t>
      </w:r>
    </w:p>
    <w:p w14:paraId="2504C337">
      <w:pPr>
        <w:pStyle w:val="12"/>
        <w:spacing w:line="360" w:lineRule="auto"/>
        <w:ind w:firstLine="480" w:firstLineChars="200"/>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t>（二）采购人地址：</w:t>
      </w:r>
      <w:r>
        <w:rPr>
          <w:rFonts w:hint="eastAsia" w:ascii="Times New Roman" w:hAnsi="Times New Roman" w:eastAsia="宋体" w:cs="Times New Roman"/>
          <w:color w:val="000000" w:themeColor="text1"/>
          <w14:textFill>
            <w14:solidFill>
              <w14:schemeClr w14:val="tx1"/>
            </w14:solidFill>
          </w14:textFill>
        </w:rPr>
        <w:t>天津市南开区南马路708号</w:t>
      </w:r>
    </w:p>
    <w:p w14:paraId="7A19CC9E">
      <w:pPr>
        <w:pStyle w:val="12"/>
        <w:spacing w:line="360" w:lineRule="auto"/>
        <w:ind w:firstLine="480" w:firstLineChars="200"/>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t>（三）采购人联系人：</w:t>
      </w:r>
      <w:r>
        <w:rPr>
          <w:rFonts w:hint="eastAsia" w:ascii="Times New Roman" w:hAnsi="Times New Roman" w:eastAsia="宋体" w:cs="Times New Roman"/>
          <w:color w:val="000000" w:themeColor="text1"/>
          <w14:textFill>
            <w14:solidFill>
              <w14:schemeClr w14:val="tx1"/>
            </w14:solidFill>
          </w14:textFill>
        </w:rPr>
        <w:t>张梦芸</w:t>
      </w:r>
    </w:p>
    <w:p w14:paraId="24F4B592">
      <w:pPr>
        <w:pStyle w:val="12"/>
        <w:spacing w:line="360" w:lineRule="auto"/>
        <w:ind w:firstLine="480" w:firstLineChars="200"/>
        <w:jc w:val="both"/>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t>（四）采购人联系电话：022-27330119-8768</w:t>
      </w:r>
    </w:p>
    <w:p w14:paraId="447370D1">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、质疑方式</w:t>
      </w:r>
    </w:p>
    <w:p w14:paraId="5C384FF7">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6D1A0487">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1149A4EA">
      <w:pPr>
        <w:pStyle w:val="12"/>
        <w:spacing w:line="360" w:lineRule="auto"/>
        <w:ind w:firstLine="480" w:firstLineChars="200"/>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1. 联系部门：天津市消防救援总队</w:t>
      </w:r>
    </w:p>
    <w:p w14:paraId="1ECD848D">
      <w:pPr>
        <w:pStyle w:val="12"/>
        <w:spacing w:line="360" w:lineRule="auto"/>
        <w:ind w:firstLine="480" w:firstLineChars="200"/>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2. 联系地址：天津市南开区南马路708号</w:t>
      </w:r>
    </w:p>
    <w:p w14:paraId="086126E4">
      <w:pPr>
        <w:pStyle w:val="12"/>
        <w:spacing w:line="360" w:lineRule="auto"/>
        <w:ind w:firstLine="480" w:firstLineChars="200"/>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3. 联 系 人：王鹏</w:t>
      </w:r>
    </w:p>
    <w:p w14:paraId="40B6C596">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联系方式：022-27330119</w:t>
      </w:r>
    </w:p>
    <w:p w14:paraId="0CD3A595">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十、公告期限</w:t>
      </w:r>
    </w:p>
    <w:p w14:paraId="61302C0E">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46DD61FD">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、招标代理服务费</w:t>
      </w:r>
    </w:p>
    <w:p w14:paraId="09C05EB0">
      <w:pPr>
        <w:pStyle w:val="12"/>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本项目按以下比例向中标供应商收取招标代理服务费</w:t>
      </w:r>
      <w:r>
        <w:rPr>
          <w:rFonts w:hint="eastAsia" w:ascii="Times New Roman" w:hAnsi="Times New Roman" w:eastAsia="宋体" w:cs="Times New Roman"/>
          <w:color w:val="auto"/>
        </w:rPr>
        <w:t>：</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2ED36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3656" w:type="dxa"/>
            <w:vAlign w:val="center"/>
          </w:tcPr>
          <w:p w14:paraId="44377EAE">
            <w:pPr>
              <w:tabs>
                <w:tab w:val="left" w:pos="750"/>
                <w:tab w:val="left" w:pos="840"/>
              </w:tabs>
              <w:adjustRightInd w:val="0"/>
              <w:snapToGrid w:val="0"/>
              <w:jc w:val="center"/>
              <w:rPr>
                <w:sz w:val="24"/>
              </w:rPr>
            </w:pPr>
            <w:r>
              <w:rPr>
                <w:sz w:val="24"/>
              </w:rPr>
              <w:t>中标金额</w:t>
            </w:r>
            <w:r>
              <w:rPr>
                <w:rFonts w:hint="eastAsia"/>
                <w:sz w:val="24"/>
              </w:rPr>
              <w:t>（万元）</w:t>
            </w:r>
          </w:p>
        </w:tc>
        <w:tc>
          <w:tcPr>
            <w:tcW w:w="3657" w:type="dxa"/>
            <w:vAlign w:val="center"/>
          </w:tcPr>
          <w:p w14:paraId="1702C88E">
            <w:pPr>
              <w:tabs>
                <w:tab w:val="left" w:pos="750"/>
                <w:tab w:val="left" w:pos="840"/>
              </w:tabs>
              <w:adjustRightInd w:val="0"/>
              <w:snapToGrid w:val="0"/>
              <w:jc w:val="center"/>
              <w:rPr>
                <w:sz w:val="24"/>
              </w:rPr>
            </w:pPr>
            <w:r>
              <w:rPr>
                <w:sz w:val="24"/>
              </w:rPr>
              <w:t>费率</w:t>
            </w:r>
          </w:p>
        </w:tc>
      </w:tr>
      <w:tr w14:paraId="666F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8369DF4">
            <w:pPr>
              <w:tabs>
                <w:tab w:val="left" w:pos="750"/>
                <w:tab w:val="left" w:pos="840"/>
              </w:tabs>
              <w:adjustRightInd w:val="0"/>
              <w:snapToGrid w:val="0"/>
              <w:jc w:val="center"/>
              <w:rPr>
                <w:sz w:val="24"/>
              </w:rPr>
            </w:pPr>
            <w:r>
              <w:rPr>
                <w:sz w:val="24"/>
              </w:rPr>
              <w:t>100以下</w:t>
            </w:r>
          </w:p>
        </w:tc>
        <w:tc>
          <w:tcPr>
            <w:tcW w:w="3657" w:type="dxa"/>
            <w:vAlign w:val="center"/>
          </w:tcPr>
          <w:p w14:paraId="127CA66F">
            <w:pPr>
              <w:tabs>
                <w:tab w:val="left" w:pos="750"/>
                <w:tab w:val="left" w:pos="840"/>
              </w:tabs>
              <w:adjustRightInd w:val="0"/>
              <w:snapToGrid w:val="0"/>
              <w:jc w:val="center"/>
              <w:rPr>
                <w:sz w:val="24"/>
              </w:rPr>
            </w:pPr>
            <w:r>
              <w:rPr>
                <w:sz w:val="24"/>
              </w:rPr>
              <w:t>1%</w:t>
            </w:r>
          </w:p>
        </w:tc>
      </w:tr>
      <w:tr w14:paraId="29BF0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3F3B16C1">
            <w:pPr>
              <w:tabs>
                <w:tab w:val="left" w:pos="750"/>
                <w:tab w:val="left" w:pos="840"/>
              </w:tabs>
              <w:adjustRightInd w:val="0"/>
              <w:snapToGrid w:val="0"/>
              <w:jc w:val="center"/>
              <w:rPr>
                <w:sz w:val="24"/>
              </w:rPr>
            </w:pPr>
            <w:r>
              <w:rPr>
                <w:sz w:val="24"/>
              </w:rPr>
              <w:t>100-500</w:t>
            </w:r>
          </w:p>
        </w:tc>
        <w:tc>
          <w:tcPr>
            <w:tcW w:w="3657" w:type="dxa"/>
            <w:vAlign w:val="center"/>
          </w:tcPr>
          <w:p w14:paraId="148DC488">
            <w:pPr>
              <w:tabs>
                <w:tab w:val="left" w:pos="750"/>
                <w:tab w:val="left" w:pos="840"/>
              </w:tabs>
              <w:adjustRightInd w:val="0"/>
              <w:snapToGrid w:val="0"/>
              <w:jc w:val="center"/>
              <w:rPr>
                <w:sz w:val="24"/>
              </w:rPr>
            </w:pPr>
            <w:r>
              <w:rPr>
                <w:rFonts w:hint="eastAsia"/>
                <w:sz w:val="24"/>
              </w:rPr>
              <w:t>0.8</w:t>
            </w:r>
            <w:r>
              <w:rPr>
                <w:sz w:val="24"/>
              </w:rPr>
              <w:t>%</w:t>
            </w:r>
          </w:p>
        </w:tc>
      </w:tr>
      <w:tr w14:paraId="247F0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3430D796">
            <w:pPr>
              <w:tabs>
                <w:tab w:val="left" w:pos="750"/>
                <w:tab w:val="left" w:pos="840"/>
              </w:tabs>
              <w:adjustRightInd w:val="0"/>
              <w:snapToGrid w:val="0"/>
              <w:jc w:val="center"/>
              <w:rPr>
                <w:sz w:val="24"/>
              </w:rPr>
            </w:pPr>
            <w:r>
              <w:rPr>
                <w:sz w:val="24"/>
              </w:rPr>
              <w:t>500-1000</w:t>
            </w:r>
          </w:p>
        </w:tc>
        <w:tc>
          <w:tcPr>
            <w:tcW w:w="3657" w:type="dxa"/>
            <w:vAlign w:val="center"/>
          </w:tcPr>
          <w:p w14:paraId="5D5867AF">
            <w:pPr>
              <w:tabs>
                <w:tab w:val="left" w:pos="750"/>
                <w:tab w:val="left" w:pos="840"/>
              </w:tabs>
              <w:adjustRightInd w:val="0"/>
              <w:snapToGrid w:val="0"/>
              <w:jc w:val="center"/>
              <w:rPr>
                <w:sz w:val="24"/>
              </w:rPr>
            </w:pPr>
            <w:r>
              <w:rPr>
                <w:sz w:val="24"/>
              </w:rPr>
              <w:t>0.</w:t>
            </w:r>
            <w:r>
              <w:rPr>
                <w:rFonts w:hint="eastAsia"/>
                <w:sz w:val="24"/>
              </w:rPr>
              <w:t>45</w:t>
            </w:r>
            <w:r>
              <w:rPr>
                <w:sz w:val="24"/>
              </w:rPr>
              <w:t>%</w:t>
            </w:r>
          </w:p>
        </w:tc>
      </w:tr>
      <w:tr w14:paraId="4BA53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0A962C22">
            <w:pPr>
              <w:tabs>
                <w:tab w:val="left" w:pos="750"/>
                <w:tab w:val="left" w:pos="840"/>
              </w:tabs>
              <w:adjustRightInd w:val="0"/>
              <w:snapToGrid w:val="0"/>
              <w:jc w:val="center"/>
              <w:rPr>
                <w:sz w:val="24"/>
              </w:rPr>
            </w:pPr>
            <w:r>
              <w:rPr>
                <w:sz w:val="24"/>
              </w:rPr>
              <w:t>1000</w:t>
            </w:r>
            <w:r>
              <w:rPr>
                <w:rFonts w:hint="eastAsia"/>
                <w:sz w:val="24"/>
              </w:rPr>
              <w:t>-5000</w:t>
            </w:r>
          </w:p>
        </w:tc>
        <w:tc>
          <w:tcPr>
            <w:tcW w:w="3657" w:type="dxa"/>
            <w:vAlign w:val="center"/>
          </w:tcPr>
          <w:p w14:paraId="60FABA30">
            <w:pPr>
              <w:tabs>
                <w:tab w:val="left" w:pos="750"/>
                <w:tab w:val="left" w:pos="840"/>
              </w:tabs>
              <w:adjustRightInd w:val="0"/>
              <w:snapToGrid w:val="0"/>
              <w:jc w:val="center"/>
              <w:rPr>
                <w:sz w:val="24"/>
              </w:rPr>
            </w:pPr>
            <w:r>
              <w:rPr>
                <w:rFonts w:hint="eastAsia"/>
                <w:sz w:val="24"/>
              </w:rPr>
              <w:t>0.25%</w:t>
            </w:r>
          </w:p>
        </w:tc>
      </w:tr>
      <w:tr w14:paraId="2860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4B611469">
            <w:pPr>
              <w:tabs>
                <w:tab w:val="left" w:pos="750"/>
                <w:tab w:val="left" w:pos="840"/>
              </w:tabs>
              <w:adjustRightInd w:val="0"/>
              <w:snapToGrid w:val="0"/>
              <w:jc w:val="center"/>
              <w:rPr>
                <w:sz w:val="24"/>
              </w:rPr>
            </w:pPr>
            <w:r>
              <w:rPr>
                <w:rFonts w:hint="eastAsia"/>
                <w:sz w:val="24"/>
              </w:rPr>
              <w:t>5000-10000</w:t>
            </w:r>
          </w:p>
        </w:tc>
        <w:tc>
          <w:tcPr>
            <w:tcW w:w="3657" w:type="dxa"/>
            <w:vAlign w:val="center"/>
          </w:tcPr>
          <w:p w14:paraId="0E1468C5">
            <w:pPr>
              <w:tabs>
                <w:tab w:val="left" w:pos="750"/>
                <w:tab w:val="left" w:pos="840"/>
              </w:tabs>
              <w:adjustRightInd w:val="0"/>
              <w:snapToGrid w:val="0"/>
              <w:jc w:val="center"/>
              <w:rPr>
                <w:sz w:val="24"/>
              </w:rPr>
            </w:pPr>
            <w:r>
              <w:rPr>
                <w:rFonts w:hint="eastAsia"/>
                <w:sz w:val="24"/>
              </w:rPr>
              <w:t>0.1%</w:t>
            </w:r>
          </w:p>
        </w:tc>
      </w:tr>
      <w:tr w14:paraId="3B9FA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73A9A233">
            <w:pPr>
              <w:tabs>
                <w:tab w:val="left" w:pos="750"/>
                <w:tab w:val="left" w:pos="840"/>
              </w:tabs>
              <w:adjustRightInd w:val="0"/>
              <w:snapToGrid w:val="0"/>
              <w:jc w:val="center"/>
              <w:rPr>
                <w:sz w:val="24"/>
              </w:rPr>
            </w:pPr>
            <w:r>
              <w:rPr>
                <w:rFonts w:hint="eastAsia"/>
                <w:sz w:val="24"/>
              </w:rPr>
              <w:t>10000-100000</w:t>
            </w:r>
          </w:p>
        </w:tc>
        <w:tc>
          <w:tcPr>
            <w:tcW w:w="3657" w:type="dxa"/>
            <w:vAlign w:val="center"/>
          </w:tcPr>
          <w:p w14:paraId="1FE0B6E7">
            <w:pPr>
              <w:tabs>
                <w:tab w:val="left" w:pos="750"/>
                <w:tab w:val="left" w:pos="840"/>
              </w:tabs>
              <w:adjustRightInd w:val="0"/>
              <w:snapToGrid w:val="0"/>
              <w:jc w:val="center"/>
              <w:rPr>
                <w:sz w:val="24"/>
              </w:rPr>
            </w:pPr>
            <w:r>
              <w:rPr>
                <w:rFonts w:hint="eastAsia"/>
                <w:sz w:val="24"/>
              </w:rPr>
              <w:t>0.05%</w:t>
            </w:r>
          </w:p>
        </w:tc>
      </w:tr>
    </w:tbl>
    <w:p w14:paraId="57F09228">
      <w:pPr>
        <w:tabs>
          <w:tab w:val="left" w:pos="700"/>
        </w:tabs>
        <w:autoSpaceDE w:val="0"/>
        <w:autoSpaceDN w:val="0"/>
        <w:adjustRightInd w:val="0"/>
        <w:spacing w:line="360" w:lineRule="auto"/>
        <w:ind w:firstLine="480" w:firstLineChars="200"/>
        <w:rPr>
          <w:sz w:val="24"/>
          <w:lang w:val="zh-CN"/>
        </w:rPr>
      </w:pPr>
      <w:r>
        <w:rPr>
          <w:sz w:val="24"/>
          <w:lang w:val="zh-CN"/>
        </w:rPr>
        <w:t>服务费按差额定率累进法计算</w:t>
      </w:r>
      <w:r>
        <w:rPr>
          <w:rFonts w:hint="eastAsia"/>
          <w:sz w:val="24"/>
          <w:lang w:val="zh-CN"/>
        </w:rPr>
        <w:t>，向下取整，精确到元。</w:t>
      </w:r>
      <w:r>
        <w:rPr>
          <w:sz w:val="24"/>
          <w:lang w:val="zh-CN"/>
        </w:rPr>
        <w:t>例如</w:t>
      </w:r>
      <w:r>
        <w:rPr>
          <w:sz w:val="24"/>
        </w:rPr>
        <w:t>中标</w:t>
      </w:r>
      <w:r>
        <w:rPr>
          <w:sz w:val="24"/>
          <w:lang w:val="zh-CN"/>
        </w:rPr>
        <w:t>金额为680</w:t>
      </w:r>
      <w:r>
        <w:rPr>
          <w:rFonts w:hint="eastAsia"/>
          <w:sz w:val="24"/>
          <w:lang w:val="zh-CN"/>
        </w:rPr>
        <w:t>5000</w:t>
      </w:r>
      <w:r>
        <w:rPr>
          <w:sz w:val="24"/>
          <w:lang w:val="zh-CN"/>
        </w:rPr>
        <w:t>元，服务费</w:t>
      </w:r>
      <w:r>
        <w:rPr>
          <w:rFonts w:hint="eastAsia"/>
          <w:sz w:val="24"/>
          <w:lang w:val="zh-CN"/>
        </w:rPr>
        <w:t>=</w:t>
      </w:r>
      <w:r>
        <w:rPr>
          <w:sz w:val="24"/>
          <w:lang w:val="zh-CN"/>
        </w:rPr>
        <w:t>100</w:t>
      </w:r>
      <w:r>
        <w:rPr>
          <w:rFonts w:hint="eastAsia"/>
          <w:sz w:val="24"/>
          <w:lang w:val="zh-CN"/>
        </w:rPr>
        <w:t>0000</w:t>
      </w:r>
      <w:r>
        <w:rPr>
          <w:sz w:val="24"/>
          <w:lang w:val="zh-CN"/>
        </w:rPr>
        <w:t>×1%+</w:t>
      </w:r>
      <w:r>
        <w:rPr>
          <w:rFonts w:hint="eastAsia"/>
          <w:sz w:val="24"/>
          <w:lang w:val="zh-CN"/>
        </w:rPr>
        <w:t>（</w:t>
      </w:r>
      <w:r>
        <w:rPr>
          <w:sz w:val="24"/>
          <w:lang w:val="zh-CN"/>
        </w:rPr>
        <w:t>500</w:t>
      </w:r>
      <w:r>
        <w:rPr>
          <w:rFonts w:hint="eastAsia"/>
          <w:sz w:val="24"/>
          <w:lang w:val="zh-CN"/>
        </w:rPr>
        <w:t>0000</w:t>
      </w:r>
      <w:r>
        <w:rPr>
          <w:sz w:val="24"/>
          <w:lang w:val="zh-CN"/>
        </w:rPr>
        <w:t>-100</w:t>
      </w:r>
      <w:r>
        <w:rPr>
          <w:rFonts w:hint="eastAsia"/>
          <w:sz w:val="24"/>
          <w:lang w:val="zh-CN"/>
        </w:rPr>
        <w:t>0000）</w:t>
      </w:r>
      <w:r>
        <w:rPr>
          <w:sz w:val="24"/>
          <w:lang w:val="zh-CN"/>
        </w:rPr>
        <w:t>×</w:t>
      </w:r>
      <w:r>
        <w:rPr>
          <w:rFonts w:hint="eastAsia"/>
          <w:sz w:val="24"/>
          <w:lang w:val="zh-CN"/>
        </w:rPr>
        <w:t>0.8</w:t>
      </w:r>
      <w:r>
        <w:rPr>
          <w:sz w:val="24"/>
          <w:lang w:val="zh-CN"/>
        </w:rPr>
        <w:t>%+</w:t>
      </w:r>
      <w:r>
        <w:rPr>
          <w:rFonts w:hint="eastAsia"/>
          <w:sz w:val="24"/>
          <w:lang w:val="zh-CN"/>
        </w:rPr>
        <w:t>（</w:t>
      </w:r>
      <w:r>
        <w:rPr>
          <w:sz w:val="24"/>
          <w:lang w:val="zh-CN"/>
        </w:rPr>
        <w:t>680</w:t>
      </w:r>
      <w:r>
        <w:rPr>
          <w:rFonts w:hint="eastAsia"/>
          <w:sz w:val="24"/>
          <w:lang w:val="zh-CN"/>
        </w:rPr>
        <w:t>5000</w:t>
      </w:r>
      <w:r>
        <w:rPr>
          <w:sz w:val="24"/>
          <w:lang w:val="zh-CN"/>
        </w:rPr>
        <w:t>-500</w:t>
      </w:r>
      <w:r>
        <w:rPr>
          <w:rFonts w:hint="eastAsia"/>
          <w:sz w:val="24"/>
          <w:lang w:val="zh-CN"/>
        </w:rPr>
        <w:t>0000）</w:t>
      </w:r>
      <w:r>
        <w:rPr>
          <w:sz w:val="24"/>
          <w:lang w:val="zh-CN"/>
        </w:rPr>
        <w:t>×0.</w:t>
      </w:r>
      <w:r>
        <w:rPr>
          <w:rFonts w:hint="eastAsia"/>
          <w:sz w:val="24"/>
          <w:lang w:val="zh-CN"/>
        </w:rPr>
        <w:t>45</w:t>
      </w:r>
      <w:r>
        <w:rPr>
          <w:sz w:val="24"/>
          <w:lang w:val="zh-CN"/>
        </w:rPr>
        <w:t>%=</w:t>
      </w:r>
      <w:r>
        <w:rPr>
          <w:rFonts w:hint="eastAsia"/>
          <w:sz w:val="24"/>
          <w:lang w:val="zh-CN"/>
        </w:rPr>
        <w:t>50122.5</w:t>
      </w:r>
      <w:r>
        <w:rPr>
          <w:sz w:val="24"/>
          <w:lang w:val="zh-CN"/>
        </w:rPr>
        <w:t>元，服务费</w:t>
      </w:r>
      <w:r>
        <w:rPr>
          <w:rFonts w:hint="eastAsia"/>
          <w:sz w:val="24"/>
          <w:lang w:val="zh-CN"/>
        </w:rPr>
        <w:t>缴纳50122元。</w:t>
      </w:r>
      <w:r>
        <w:rPr>
          <w:sz w:val="24"/>
          <w:lang w:val="zh-CN"/>
        </w:rPr>
        <w:t>其中中标金额以《中标通知书》为准。</w:t>
      </w:r>
    </w:p>
    <w:p w14:paraId="26508113">
      <w:pPr>
        <w:tabs>
          <w:tab w:val="left" w:pos="700"/>
        </w:tabs>
        <w:autoSpaceDE w:val="0"/>
        <w:autoSpaceDN w:val="0"/>
        <w:adjustRightInd w:val="0"/>
        <w:spacing w:line="360" w:lineRule="auto"/>
        <w:ind w:firstLine="480" w:firstLineChars="200"/>
        <w:rPr>
          <w:sz w:val="24"/>
          <w:szCs w:val="24"/>
          <w:lang w:val="zh-CN"/>
        </w:rPr>
      </w:pPr>
      <w:r>
        <w:rPr>
          <w:rFonts w:hint="eastAsia"/>
          <w:sz w:val="24"/>
          <w:szCs w:val="24"/>
        </w:rPr>
        <w:t>中标供应商应于中标公告发布之日起5个工作日内缴纳</w:t>
      </w:r>
      <w:r>
        <w:rPr>
          <w:rFonts w:hint="eastAsia"/>
          <w:sz w:val="24"/>
          <w:szCs w:val="24"/>
          <w:lang w:val="zh-CN"/>
        </w:rPr>
        <w:t>招标代理服务费，缴费单位名称须与投标单位名称一致，缴费时请注明项目编号及中标包号。</w:t>
      </w:r>
    </w:p>
    <w:p w14:paraId="68AF68C0">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名        称：天津市公共资源交易中心</w:t>
      </w:r>
    </w:p>
    <w:p w14:paraId="4BD32A32">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开户行及账号：中国建设银行股份有限公司天津明华支行 </w:t>
      </w:r>
    </w:p>
    <w:p w14:paraId="6A011425">
      <w:pPr>
        <w:pStyle w:val="12"/>
        <w:spacing w:line="360" w:lineRule="auto"/>
        <w:ind w:firstLine="2152" w:firstLineChars="897"/>
        <w:rPr>
          <w:rFonts w:ascii="Times New Roman" w:hAnsi="Times New Roman" w:eastAsia="宋体" w:cs="Times New Roman"/>
          <w:color w:val="auto"/>
        </w:rPr>
      </w:pPr>
      <w:r>
        <w:rPr>
          <w:rFonts w:ascii="Times New Roman" w:hAnsi="Times New Roman" w:eastAsia="宋体" w:cs="Times New Roman"/>
          <w:color w:val="auto"/>
        </w:rPr>
        <w:t>1205 0162 4900 0000 0675</w:t>
      </w:r>
    </w:p>
    <w:p w14:paraId="70B44661">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银行联行号：105110039436</w:t>
      </w:r>
    </w:p>
    <w:p w14:paraId="03FCBB83">
      <w:pPr>
        <w:pStyle w:val="12"/>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纳税人识别号：1212 0000 MB1E 44809C</w:t>
      </w:r>
    </w:p>
    <w:p w14:paraId="3EFD3160">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地址：天津市河东区红星路79号</w:t>
      </w:r>
    </w:p>
    <w:p w14:paraId="0269E340">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缴费及申请开票系统：http://pay.tjggzy.cn/</w:t>
      </w:r>
    </w:p>
    <w:p w14:paraId="18C220A7">
      <w:pPr>
        <w:pStyle w:val="12"/>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缴费及开票咨询电话：022-24532012</w:t>
      </w:r>
    </w:p>
    <w:p w14:paraId="7F2B8ACE">
      <w:pPr>
        <w:pStyle w:val="12"/>
        <w:spacing w:line="360" w:lineRule="auto"/>
        <w:ind w:firstLine="480" w:firstLineChars="200"/>
        <w:jc w:val="both"/>
        <w:rPr>
          <w:rFonts w:ascii="Times New Roman" w:hAnsi="Times New Roman" w:eastAsia="宋体" w:cs="Times New Roman"/>
          <w:color w:val="FF0000"/>
        </w:rPr>
      </w:pPr>
    </w:p>
    <w:p w14:paraId="6650D80E">
      <w:pPr>
        <w:pStyle w:val="12"/>
        <w:spacing w:line="360" w:lineRule="auto"/>
        <w:jc w:val="both"/>
        <w:rPr>
          <w:rFonts w:ascii="Times New Roman" w:hAnsi="Times New Roman" w:eastAsia="宋体" w:cs="Times New Roman"/>
          <w:color w:val="auto"/>
        </w:rPr>
      </w:pPr>
    </w:p>
    <w:p w14:paraId="3F3A9BA6">
      <w:pPr>
        <w:pStyle w:val="12"/>
        <w:spacing w:line="360" w:lineRule="auto"/>
        <w:jc w:val="right"/>
        <w:rPr>
          <w:rFonts w:ascii="Times New Roman" w:hAnsi="Times New Roman" w:eastAsia="宋体" w:cs="Times New Roman"/>
          <w:color w:val="auto"/>
        </w:rPr>
      </w:pPr>
      <w:r>
        <w:rPr>
          <w:rFonts w:ascii="Times New Roman" w:hAnsi="Times New Roman" w:eastAsia="宋体" w:cs="Times New Roman"/>
          <w:color w:val="auto"/>
        </w:rPr>
        <w:t>2026年</w:t>
      </w:r>
      <w:r>
        <w:rPr>
          <w:rFonts w:hint="eastAsia" w:ascii="Times New Roman" w:hAnsi="Times New Roman" w:eastAsia="宋体" w:cs="Times New Roman"/>
          <w:color w:val="auto"/>
        </w:rPr>
        <w:t>2</w:t>
      </w:r>
      <w:r>
        <w:rPr>
          <w:rFonts w:ascii="Times New Roman" w:hAnsi="Times New Roman" w:eastAsia="宋体" w:cs="Times New Roman"/>
          <w:color w:val="auto"/>
        </w:rPr>
        <w:t>月</w:t>
      </w:r>
      <w:r>
        <w:rPr>
          <w:rFonts w:hint="eastAsia" w:ascii="Times New Roman" w:hAnsi="Times New Roman" w:eastAsia="宋体" w:cs="Times New Roman"/>
          <w:color w:val="auto"/>
        </w:rPr>
        <w:t>6</w:t>
      </w:r>
      <w:r>
        <w:rPr>
          <w:rFonts w:ascii="Times New Roman" w:hAnsi="Times New Roman" w:eastAsia="宋体" w:cs="Times New Roman"/>
          <w:color w:val="auto"/>
        </w:rPr>
        <w:t>日</w:t>
      </w:r>
    </w:p>
    <w:p w14:paraId="1B63DCCB">
      <w:pPr>
        <w:pStyle w:val="12"/>
        <w:spacing w:line="360" w:lineRule="auto"/>
        <w:jc w:val="right"/>
        <w:rPr>
          <w:rFonts w:ascii="Times New Roman" w:hAnsi="Times New Roman" w:eastAsia="宋体" w:cs="Times New Roman"/>
          <w:color w:val="auto"/>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
    <w:altName w:val="汉仪中黑KW"/>
    <w:panose1 w:val="00000000000000000000"/>
    <w:charset w:val="86"/>
    <w:family w:val="auto"/>
    <w:pitch w:val="default"/>
    <w:sig w:usb0="00000000" w:usb1="00000000" w:usb2="00000010" w:usb3="00000000" w:csb0="00040000" w:csb1="00000000"/>
  </w:font>
  <w:font w:name="Cambria">
    <w:altName w:val="Georgia"/>
    <w:panose1 w:val="02040503050406030204"/>
    <w:charset w:val="00"/>
    <w:family w:val="roman"/>
    <w:pitch w:val="default"/>
    <w:sig w:usb0="00000000" w:usb1="00000000" w:usb2="02000000" w:usb3="00000000" w:csb0="0000019F" w:csb1="00000000"/>
  </w:font>
  <w:font w:name="Georgia">
    <w:panose1 w:val="02040502050405020303"/>
    <w:charset w:val="00"/>
    <w:family w:val="auto"/>
    <w:pitch w:val="default"/>
    <w:sig w:usb0="00000287" w:usb1="00000000" w:usb2="00000000" w:usb3="00000000" w:csb0="2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AE52B">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EB9"/>
    <w:rsid w:val="00004D48"/>
    <w:rsid w:val="000143B1"/>
    <w:rsid w:val="0002297F"/>
    <w:rsid w:val="00027E86"/>
    <w:rsid w:val="00044E7F"/>
    <w:rsid w:val="0007328E"/>
    <w:rsid w:val="0008517D"/>
    <w:rsid w:val="000A6CB6"/>
    <w:rsid w:val="000B4575"/>
    <w:rsid w:val="000B4925"/>
    <w:rsid w:val="000C4997"/>
    <w:rsid w:val="000D7114"/>
    <w:rsid w:val="000D7FF6"/>
    <w:rsid w:val="000F303A"/>
    <w:rsid w:val="001043F3"/>
    <w:rsid w:val="0011064B"/>
    <w:rsid w:val="00124325"/>
    <w:rsid w:val="00125200"/>
    <w:rsid w:val="001333D5"/>
    <w:rsid w:val="00153E2D"/>
    <w:rsid w:val="001825D3"/>
    <w:rsid w:val="00183E71"/>
    <w:rsid w:val="00186247"/>
    <w:rsid w:val="001A46B5"/>
    <w:rsid w:val="001B08D7"/>
    <w:rsid w:val="001B495B"/>
    <w:rsid w:val="001C5C3B"/>
    <w:rsid w:val="001D4F5E"/>
    <w:rsid w:val="001D5D5C"/>
    <w:rsid w:val="001E4756"/>
    <w:rsid w:val="001F1E42"/>
    <w:rsid w:val="0020615F"/>
    <w:rsid w:val="00243B81"/>
    <w:rsid w:val="002B6B0C"/>
    <w:rsid w:val="002C6DE1"/>
    <w:rsid w:val="00304697"/>
    <w:rsid w:val="00305546"/>
    <w:rsid w:val="00342036"/>
    <w:rsid w:val="00373BD9"/>
    <w:rsid w:val="003A4C99"/>
    <w:rsid w:val="003A5CA4"/>
    <w:rsid w:val="003B530B"/>
    <w:rsid w:val="003B5343"/>
    <w:rsid w:val="003C08C9"/>
    <w:rsid w:val="00403A6B"/>
    <w:rsid w:val="00443C1F"/>
    <w:rsid w:val="00451EE2"/>
    <w:rsid w:val="00470EFC"/>
    <w:rsid w:val="00470FF2"/>
    <w:rsid w:val="00476FA2"/>
    <w:rsid w:val="00486379"/>
    <w:rsid w:val="004A2795"/>
    <w:rsid w:val="004A2C1C"/>
    <w:rsid w:val="004B6903"/>
    <w:rsid w:val="004D3C4B"/>
    <w:rsid w:val="00537EE6"/>
    <w:rsid w:val="00566E3F"/>
    <w:rsid w:val="00571259"/>
    <w:rsid w:val="00575069"/>
    <w:rsid w:val="00576160"/>
    <w:rsid w:val="005B1AB3"/>
    <w:rsid w:val="005C09FA"/>
    <w:rsid w:val="005D6190"/>
    <w:rsid w:val="005F1908"/>
    <w:rsid w:val="005F7F54"/>
    <w:rsid w:val="00605F5F"/>
    <w:rsid w:val="00620BD2"/>
    <w:rsid w:val="00624EBD"/>
    <w:rsid w:val="00657081"/>
    <w:rsid w:val="00667D51"/>
    <w:rsid w:val="00670ACB"/>
    <w:rsid w:val="00676F3F"/>
    <w:rsid w:val="00686828"/>
    <w:rsid w:val="006928F4"/>
    <w:rsid w:val="006A102B"/>
    <w:rsid w:val="006B69A2"/>
    <w:rsid w:val="006C40E5"/>
    <w:rsid w:val="006F40E4"/>
    <w:rsid w:val="0070334F"/>
    <w:rsid w:val="00703D94"/>
    <w:rsid w:val="00707862"/>
    <w:rsid w:val="00731AF1"/>
    <w:rsid w:val="00750726"/>
    <w:rsid w:val="00753214"/>
    <w:rsid w:val="007822D9"/>
    <w:rsid w:val="00795149"/>
    <w:rsid w:val="007B460E"/>
    <w:rsid w:val="007C17A4"/>
    <w:rsid w:val="007E59C2"/>
    <w:rsid w:val="0080789A"/>
    <w:rsid w:val="00821BFE"/>
    <w:rsid w:val="00831ADF"/>
    <w:rsid w:val="008432D0"/>
    <w:rsid w:val="00855960"/>
    <w:rsid w:val="008654BF"/>
    <w:rsid w:val="00865FB3"/>
    <w:rsid w:val="00893434"/>
    <w:rsid w:val="00896989"/>
    <w:rsid w:val="008C6A32"/>
    <w:rsid w:val="008E0B32"/>
    <w:rsid w:val="008E4767"/>
    <w:rsid w:val="008E71D4"/>
    <w:rsid w:val="00901466"/>
    <w:rsid w:val="009227DA"/>
    <w:rsid w:val="009453E2"/>
    <w:rsid w:val="00997749"/>
    <w:rsid w:val="009A5CDE"/>
    <w:rsid w:val="009B0FB4"/>
    <w:rsid w:val="009B78EB"/>
    <w:rsid w:val="009C5F34"/>
    <w:rsid w:val="009F29B8"/>
    <w:rsid w:val="00A457FC"/>
    <w:rsid w:val="00A533BC"/>
    <w:rsid w:val="00A55AA9"/>
    <w:rsid w:val="00A577FF"/>
    <w:rsid w:val="00A813CA"/>
    <w:rsid w:val="00A845E3"/>
    <w:rsid w:val="00A91D0A"/>
    <w:rsid w:val="00AC2A02"/>
    <w:rsid w:val="00AC44BD"/>
    <w:rsid w:val="00AE3392"/>
    <w:rsid w:val="00AF6759"/>
    <w:rsid w:val="00B16CCC"/>
    <w:rsid w:val="00B30641"/>
    <w:rsid w:val="00B36BF8"/>
    <w:rsid w:val="00B47AAE"/>
    <w:rsid w:val="00B6479E"/>
    <w:rsid w:val="00BA2189"/>
    <w:rsid w:val="00BB2185"/>
    <w:rsid w:val="00BD1EB9"/>
    <w:rsid w:val="00BE1895"/>
    <w:rsid w:val="00C07F91"/>
    <w:rsid w:val="00C1119D"/>
    <w:rsid w:val="00C24670"/>
    <w:rsid w:val="00C41530"/>
    <w:rsid w:val="00C45154"/>
    <w:rsid w:val="00C8547B"/>
    <w:rsid w:val="00CB3873"/>
    <w:rsid w:val="00CC4364"/>
    <w:rsid w:val="00CE02A0"/>
    <w:rsid w:val="00CE0DCE"/>
    <w:rsid w:val="00CF5FEF"/>
    <w:rsid w:val="00D1484F"/>
    <w:rsid w:val="00D17A5A"/>
    <w:rsid w:val="00D255D3"/>
    <w:rsid w:val="00D270E7"/>
    <w:rsid w:val="00D27E50"/>
    <w:rsid w:val="00D411CE"/>
    <w:rsid w:val="00D50097"/>
    <w:rsid w:val="00D50589"/>
    <w:rsid w:val="00D70A6E"/>
    <w:rsid w:val="00DC15CC"/>
    <w:rsid w:val="00DD5DA5"/>
    <w:rsid w:val="00DE2E19"/>
    <w:rsid w:val="00E1764B"/>
    <w:rsid w:val="00E22A7A"/>
    <w:rsid w:val="00E61BCB"/>
    <w:rsid w:val="00E96EB9"/>
    <w:rsid w:val="00ED239A"/>
    <w:rsid w:val="00EF055E"/>
    <w:rsid w:val="00F07CD9"/>
    <w:rsid w:val="00F122C2"/>
    <w:rsid w:val="00F16BBD"/>
    <w:rsid w:val="00F4264C"/>
    <w:rsid w:val="00F64743"/>
    <w:rsid w:val="00F679F1"/>
    <w:rsid w:val="00F70B38"/>
    <w:rsid w:val="00F71702"/>
    <w:rsid w:val="00F8237E"/>
    <w:rsid w:val="00F92587"/>
    <w:rsid w:val="00FD2C06"/>
    <w:rsid w:val="00FD50B8"/>
    <w:rsid w:val="00FF4167"/>
    <w:rsid w:val="6F6F311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qFormat/>
    <w:uiPriority w:val="0"/>
    <w:pPr>
      <w:tabs>
        <w:tab w:val="left" w:pos="480"/>
      </w:tabs>
      <w:spacing w:line="560" w:lineRule="exact"/>
      <w:ind w:firstLine="480"/>
      <w:jc w:val="left"/>
    </w:pPr>
    <w:rPr>
      <w:rFonts w:ascii="宋体" w:hAnsi="宋体" w:eastAsia="宋体" w:cs="Times New Roman"/>
      <w:sz w:val="24"/>
      <w:szCs w:val="20"/>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Subtitle"/>
    <w:basedOn w:val="1"/>
    <w:next w:val="1"/>
    <w:link w:val="14"/>
    <w:qFormat/>
    <w:uiPriority w:val="11"/>
    <w:pPr>
      <w:spacing w:before="240" w:after="60" w:line="312" w:lineRule="auto"/>
      <w:jc w:val="center"/>
      <w:outlineLvl w:val="1"/>
    </w:pPr>
    <w:rPr>
      <w:rFonts w:ascii="Cambria" w:hAnsi="Cambria" w:eastAsia="宋体" w:cs="Times New Roman"/>
      <w:b/>
      <w:bCs/>
      <w:kern w:val="28"/>
      <w:sz w:val="32"/>
      <w:szCs w:val="32"/>
      <w:lang w:val="zh-CN" w:eastAsia="zh-CN"/>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customStyle="1" w:styleId="10">
    <w:name w:val="页眉 Char"/>
    <w:basedOn w:val="8"/>
    <w:link w:val="4"/>
    <w:qFormat/>
    <w:uiPriority w:val="99"/>
    <w:rPr>
      <w:sz w:val="18"/>
      <w:szCs w:val="18"/>
    </w:rPr>
  </w:style>
  <w:style w:type="character" w:customStyle="1" w:styleId="11">
    <w:name w:val="页脚 Char"/>
    <w:basedOn w:val="8"/>
    <w:link w:val="3"/>
    <w:qFormat/>
    <w:uiPriority w:val="99"/>
    <w:rPr>
      <w:sz w:val="18"/>
      <w:szCs w:val="18"/>
    </w:rPr>
  </w:style>
  <w:style w:type="paragraph" w:customStyle="1" w:styleId="12">
    <w:name w:val="Default"/>
    <w:link w:val="13"/>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13">
    <w:name w:val="Default Char"/>
    <w:link w:val="12"/>
    <w:qFormat/>
    <w:locked/>
    <w:uiPriority w:val="0"/>
    <w:rPr>
      <w:rFonts w:ascii="......." w:hAnsi="Calibri" w:eastAsia="......." w:cs="......."/>
      <w:color w:val="000000"/>
      <w:kern w:val="0"/>
      <w:sz w:val="24"/>
      <w:szCs w:val="24"/>
    </w:rPr>
  </w:style>
  <w:style w:type="character" w:customStyle="1" w:styleId="14">
    <w:name w:val="副标题 Char"/>
    <w:basedOn w:val="8"/>
    <w:link w:val="5"/>
    <w:qFormat/>
    <w:uiPriority w:val="11"/>
    <w:rPr>
      <w:rFonts w:ascii="Cambria" w:hAnsi="Cambria" w:eastAsia="宋体" w:cs="Times New Roman"/>
      <w:b/>
      <w:bCs/>
      <w:kern w:val="28"/>
      <w:sz w:val="32"/>
      <w:szCs w:val="32"/>
      <w:lang w:val="zh-CN" w:eastAsia="zh-CN"/>
    </w:rPr>
  </w:style>
  <w:style w:type="character" w:customStyle="1" w:styleId="15">
    <w:name w:val="正文文本缩进 Char"/>
    <w:basedOn w:val="8"/>
    <w:link w:val="2"/>
    <w:qFormat/>
    <w:uiPriority w:val="0"/>
    <w:rPr>
      <w:rFonts w:ascii="宋体" w:hAnsi="宋体" w:eastAsia="宋体" w:cs="Times New Roman"/>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神州网信技术有限公司</Company>
  <Pages>6</Pages>
  <Words>701</Words>
  <Characters>3999</Characters>
  <Lines>33</Lines>
  <Paragraphs>9</Paragraphs>
  <TotalTime>88</TotalTime>
  <ScaleCrop>false</ScaleCrop>
  <LinksUpToDate>false</LinksUpToDate>
  <CharactersWithSpaces>4691</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2025-02-12T16:32:00Z</dcterms:created>
  <dc:creator>未定义</dc:creator>
  <cp:lastModifiedBy>未定义</cp:lastModifiedBy>
  <dcterms:modified xsi:type="dcterms:W3CDTF">2026-02-06T16:14:11Z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9150E6E9DAD981DFD3A285692BB97222_43</vt:lpwstr>
  </property>
</Properties>
</file>